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jc w:val="both"/>
        <w:rPr>
          <w:sz w:val="28"/>
          <w:szCs w:val="28"/>
          <w:highlight w:val="white"/>
        </w:rPr>
      </w:pPr>
      <w:r w:rsidDel="00000000" w:rsidR="00000000" w:rsidRPr="00000000">
        <w:rPr>
          <w:sz w:val="28"/>
          <w:szCs w:val="28"/>
          <w:highlight w:val="white"/>
          <w:rtl w:val="0"/>
        </w:rPr>
        <w:t xml:space="preserve">EJEMPLO NRV 11.ª 1.2.1.Párr. 3.º ENUNCIADO: Adquisición de Bonos clasificados como “disponibles para la venta” en moneda extranjera (partida monetaria).</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line="240" w:lineRule="auto"/>
        <w:jc w:val="both"/>
        <w:rPr>
          <w:sz w:val="28"/>
          <w:szCs w:val="28"/>
          <w:highlight w:val="whit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line="360" w:lineRule="auto"/>
        <w:jc w:val="both"/>
        <w:rPr>
          <w:highlight w:val="white"/>
        </w:rPr>
      </w:pPr>
      <w:r w:rsidDel="00000000" w:rsidR="00000000" w:rsidRPr="00000000">
        <w:rPr>
          <w:highlight w:val="white"/>
          <w:rtl w:val="0"/>
        </w:rPr>
        <w:t xml:space="preserve">La empresa adquiere el 31.12.20x1 un Bono emitido el 31.12.20x0 que se clasifica como activo financiero disponible para la venta. El precio de adquisición es de 1.045.000 $ más costes de transacción de 5.000 $ (nominal: 1.000.000 $). Los intereses del Bono se pagan anualmente a 31.12 al 4% nominal. El vencimiento es el 31.12.20x5 con prima de reembolso que hace el Tipo de interés efectivo del 6%.</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line="240" w:lineRule="auto"/>
        <w:jc w:val="both"/>
        <w:rPr>
          <w:highlight w:val="whit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line="360" w:lineRule="auto"/>
        <w:jc w:val="both"/>
        <w:rPr>
          <w:highlight w:val="white"/>
        </w:rPr>
      </w:pPr>
      <w:r w:rsidDel="00000000" w:rsidR="00000000" w:rsidRPr="00000000">
        <w:rPr>
          <w:highlight w:val="white"/>
          <w:rtl w:val="0"/>
        </w:rPr>
        <w:t xml:space="preserve">La evolución de los tipos de cambio y cotización durante la vida del Bono son los siguientes:</w:t>
      </w:r>
    </w:p>
    <w:tbl>
      <w:tblPr>
        <w:tblStyle w:val="Table1"/>
        <w:tblW w:w="589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5"/>
        <w:gridCol w:w="1650"/>
        <w:gridCol w:w="1605"/>
        <w:gridCol w:w="1395"/>
        <w:tblGridChange w:id="0">
          <w:tblGrid>
            <w:gridCol w:w="1245"/>
            <w:gridCol w:w="1650"/>
            <w:gridCol w:w="1605"/>
            <w:gridCol w:w="139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jc w:val="both"/>
              <w:rPr>
                <w:sz w:val="20"/>
                <w:szCs w:val="20"/>
                <w:highlight w:val="white"/>
              </w:rPr>
            </w:pPr>
            <w:r w:rsidDel="00000000" w:rsidR="00000000" w:rsidRPr="00000000">
              <w:rPr>
                <w:sz w:val="20"/>
                <w:szCs w:val="20"/>
                <w:highlight w:val="white"/>
                <w:rtl w:val="0"/>
              </w:rPr>
              <w:t xml:space="preserve">Fecha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jc w:val="both"/>
              <w:rPr>
                <w:sz w:val="20"/>
                <w:szCs w:val="20"/>
                <w:highlight w:val="white"/>
              </w:rPr>
            </w:pPr>
            <w:r w:rsidDel="00000000" w:rsidR="00000000" w:rsidRPr="00000000">
              <w:rPr>
                <w:sz w:val="20"/>
                <w:szCs w:val="20"/>
                <w:highlight w:val="white"/>
                <w:rtl w:val="0"/>
              </w:rPr>
              <w:t xml:space="preserve">Tipo de Cambio</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jc w:val="center"/>
              <w:rPr>
                <w:sz w:val="20"/>
                <w:szCs w:val="20"/>
                <w:highlight w:val="white"/>
              </w:rPr>
            </w:pPr>
            <w:r w:rsidDel="00000000" w:rsidR="00000000" w:rsidRPr="00000000">
              <w:rPr>
                <w:sz w:val="20"/>
                <w:szCs w:val="20"/>
                <w:highlight w:val="white"/>
                <w:rtl w:val="0"/>
              </w:rPr>
              <w:t xml:space="preserve">medio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jc w:val="center"/>
              <w:rPr>
                <w:sz w:val="20"/>
                <w:szCs w:val="20"/>
                <w:highlight w:val="white"/>
              </w:rPr>
            </w:pPr>
            <w:r w:rsidDel="00000000" w:rsidR="00000000" w:rsidRPr="00000000">
              <w:rPr>
                <w:sz w:val="20"/>
                <w:szCs w:val="20"/>
                <w:highlight w:val="white"/>
                <w:rtl w:val="0"/>
              </w:rPr>
              <w:t xml:space="preserve">Tipo de cambio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jc w:val="center"/>
              <w:rPr>
                <w:sz w:val="20"/>
                <w:szCs w:val="20"/>
                <w:highlight w:val="white"/>
              </w:rPr>
            </w:pPr>
            <w:r w:rsidDel="00000000" w:rsidR="00000000" w:rsidRPr="00000000">
              <w:rPr>
                <w:sz w:val="20"/>
                <w:szCs w:val="20"/>
                <w:highlight w:val="white"/>
                <w:rtl w:val="0"/>
              </w:rPr>
              <w:t xml:space="preserve">Cotización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jc w:val="center"/>
              <w:rPr>
                <w:sz w:val="20"/>
                <w:szCs w:val="20"/>
                <w:highlight w:val="white"/>
              </w:rPr>
            </w:pPr>
            <w:r w:rsidDel="00000000" w:rsidR="00000000" w:rsidRPr="00000000">
              <w:rPr>
                <w:sz w:val="20"/>
                <w:szCs w:val="20"/>
                <w:highlight w:val="white"/>
                <w:rtl w:val="0"/>
              </w:rPr>
              <w:t xml:space="preserve">31.12.20x1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jc w:val="center"/>
              <w:rPr>
                <w:sz w:val="20"/>
                <w:szCs w:val="20"/>
                <w:highlight w:val="white"/>
              </w:rPr>
            </w:pPr>
            <w:r w:rsidDel="00000000" w:rsidR="00000000" w:rsidRPr="00000000">
              <w:rPr>
                <w:sz w:val="20"/>
                <w:szCs w:val="20"/>
                <w:highlight w:val="whit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jc w:val="center"/>
              <w:rPr>
                <w:sz w:val="20"/>
                <w:szCs w:val="20"/>
                <w:highlight w:val="white"/>
              </w:rPr>
            </w:pPr>
            <w:r w:rsidDel="00000000" w:rsidR="00000000" w:rsidRPr="00000000">
              <w:rPr>
                <w:sz w:val="20"/>
                <w:szCs w:val="20"/>
                <w:highlight w:val="whit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jc w:val="both"/>
              <w:rPr>
                <w:sz w:val="20"/>
                <w:szCs w:val="20"/>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jc w:val="both"/>
              <w:rPr>
                <w:sz w:val="20"/>
                <w:szCs w:val="20"/>
                <w:highlight w:val="white"/>
              </w:rPr>
            </w:pPr>
            <w:r w:rsidDel="00000000" w:rsidR="00000000" w:rsidRPr="00000000">
              <w:rPr>
                <w:sz w:val="20"/>
                <w:szCs w:val="20"/>
                <w:highlight w:val="white"/>
                <w:rtl w:val="0"/>
              </w:rPr>
              <w:t xml:space="preserve">31.12.20x2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jc w:val="center"/>
              <w:rPr>
                <w:sz w:val="20"/>
                <w:szCs w:val="20"/>
                <w:highlight w:val="white"/>
              </w:rPr>
            </w:pPr>
            <w:r w:rsidDel="00000000" w:rsidR="00000000" w:rsidRPr="00000000">
              <w:rPr>
                <w:sz w:val="20"/>
                <w:szCs w:val="20"/>
                <w:highlight w:val="whit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jc w:val="center"/>
              <w:rPr>
                <w:sz w:val="20"/>
                <w:szCs w:val="20"/>
                <w:highlight w:val="white"/>
              </w:rPr>
            </w:pPr>
            <w:r w:rsidDel="00000000" w:rsidR="00000000" w:rsidRPr="00000000">
              <w:rPr>
                <w:sz w:val="20"/>
                <w:szCs w:val="20"/>
                <w:highlight w:val="whit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jc w:val="center"/>
              <w:rPr>
                <w:sz w:val="20"/>
                <w:szCs w:val="20"/>
                <w:highlight w:val="white"/>
              </w:rPr>
            </w:pPr>
            <w:r w:rsidDel="00000000" w:rsidR="00000000" w:rsidRPr="00000000">
              <w:rPr>
                <w:sz w:val="20"/>
                <w:szCs w:val="20"/>
                <w:highlight w:val="white"/>
                <w:rtl w:val="0"/>
              </w:rPr>
              <w:t xml:space="preserve">108%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jc w:val="both"/>
              <w:rPr>
                <w:sz w:val="20"/>
                <w:szCs w:val="20"/>
                <w:highlight w:val="white"/>
              </w:rPr>
            </w:pPr>
            <w:r w:rsidDel="00000000" w:rsidR="00000000" w:rsidRPr="00000000">
              <w:rPr>
                <w:sz w:val="20"/>
                <w:szCs w:val="20"/>
                <w:highlight w:val="white"/>
                <w:rtl w:val="0"/>
              </w:rPr>
              <w:t xml:space="preserve">31.12.20x3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jc w:val="center"/>
              <w:rPr>
                <w:sz w:val="20"/>
                <w:szCs w:val="20"/>
                <w:highlight w:val="white"/>
              </w:rPr>
            </w:pPr>
            <w:r w:rsidDel="00000000" w:rsidR="00000000" w:rsidRPr="00000000">
              <w:rPr>
                <w:sz w:val="20"/>
                <w:szCs w:val="20"/>
                <w:highlight w:val="whit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jc w:val="center"/>
              <w:rPr>
                <w:sz w:val="20"/>
                <w:szCs w:val="20"/>
                <w:highlight w:val="white"/>
              </w:rPr>
            </w:pPr>
            <w:r w:rsidDel="00000000" w:rsidR="00000000" w:rsidRPr="00000000">
              <w:rPr>
                <w:sz w:val="20"/>
                <w:szCs w:val="20"/>
                <w:highlight w:val="white"/>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jc w:val="center"/>
              <w:rPr>
                <w:sz w:val="20"/>
                <w:szCs w:val="20"/>
                <w:highlight w:val="white"/>
              </w:rPr>
            </w:pPr>
            <w:r w:rsidDel="00000000" w:rsidR="00000000" w:rsidRPr="00000000">
              <w:rPr>
                <w:sz w:val="20"/>
                <w:szCs w:val="20"/>
                <w:highlight w:val="white"/>
                <w:rtl w:val="0"/>
              </w:rPr>
              <w:t xml:space="preserve">110%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jc w:val="both"/>
              <w:rPr>
                <w:sz w:val="20"/>
                <w:szCs w:val="20"/>
                <w:highlight w:val="white"/>
              </w:rPr>
            </w:pPr>
            <w:r w:rsidDel="00000000" w:rsidR="00000000" w:rsidRPr="00000000">
              <w:rPr>
                <w:sz w:val="20"/>
                <w:szCs w:val="20"/>
                <w:highlight w:val="white"/>
                <w:rtl w:val="0"/>
              </w:rPr>
              <w:t xml:space="preserve">31.12.20x4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jc w:val="center"/>
              <w:rPr>
                <w:sz w:val="20"/>
                <w:szCs w:val="20"/>
                <w:highlight w:val="white"/>
              </w:rPr>
            </w:pPr>
            <w:r w:rsidDel="00000000" w:rsidR="00000000" w:rsidRPr="00000000">
              <w:rPr>
                <w:sz w:val="20"/>
                <w:szCs w:val="20"/>
                <w:highlight w:val="white"/>
                <w:rtl w:val="0"/>
              </w:rPr>
              <w:t xml:space="preserve">0,9 €/$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jc w:val="center"/>
              <w:rPr>
                <w:sz w:val="20"/>
                <w:szCs w:val="20"/>
                <w:highlight w:val="white"/>
              </w:rPr>
            </w:pPr>
            <w:r w:rsidDel="00000000" w:rsidR="00000000" w:rsidRPr="00000000">
              <w:rPr>
                <w:sz w:val="20"/>
                <w:szCs w:val="20"/>
                <w:highlight w:val="whit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jc w:val="center"/>
              <w:rPr>
                <w:sz w:val="20"/>
                <w:szCs w:val="20"/>
                <w:highlight w:val="white"/>
              </w:rPr>
            </w:pPr>
            <w:r w:rsidDel="00000000" w:rsidR="00000000" w:rsidRPr="00000000">
              <w:rPr>
                <w:sz w:val="20"/>
                <w:szCs w:val="20"/>
                <w:highlight w:val="white"/>
                <w:rtl w:val="0"/>
              </w:rPr>
              <w:t xml:space="preserve">105 %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jc w:val="both"/>
              <w:rPr>
                <w:sz w:val="20"/>
                <w:szCs w:val="20"/>
                <w:highlight w:val="white"/>
              </w:rPr>
            </w:pPr>
            <w:r w:rsidDel="00000000" w:rsidR="00000000" w:rsidRPr="00000000">
              <w:rPr>
                <w:sz w:val="20"/>
                <w:szCs w:val="20"/>
                <w:highlight w:val="white"/>
                <w:rtl w:val="0"/>
              </w:rPr>
              <w:t xml:space="preserve">31.12.20x5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jc w:val="center"/>
              <w:rPr>
                <w:sz w:val="20"/>
                <w:szCs w:val="20"/>
                <w:highlight w:val="white"/>
              </w:rPr>
            </w:pPr>
            <w:r w:rsidDel="00000000" w:rsidR="00000000" w:rsidRPr="00000000">
              <w:rPr>
                <w:sz w:val="20"/>
                <w:szCs w:val="20"/>
                <w:highlight w:val="whit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jc w:val="center"/>
              <w:rPr>
                <w:sz w:val="20"/>
                <w:szCs w:val="20"/>
                <w:highlight w:val="white"/>
              </w:rPr>
            </w:pPr>
            <w:r w:rsidDel="00000000" w:rsidR="00000000" w:rsidRPr="00000000">
              <w:rPr>
                <w:sz w:val="20"/>
                <w:szCs w:val="20"/>
                <w:highlight w:val="whit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jc w:val="center"/>
              <w:rPr>
                <w:sz w:val="20"/>
                <w:szCs w:val="20"/>
                <w:highlight w:val="white"/>
              </w:rPr>
            </w:pPr>
            <w:r w:rsidDel="00000000" w:rsidR="00000000" w:rsidRPr="00000000">
              <w:rPr>
                <w:sz w:val="20"/>
                <w:szCs w:val="20"/>
                <w:highlight w:val="white"/>
                <w:rtl w:val="0"/>
              </w:rPr>
              <w:t xml:space="preserve">100%</w:t>
            </w:r>
          </w:p>
        </w:tc>
      </w:tr>
    </w:tbl>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line="360" w:lineRule="auto"/>
        <w:jc w:val="both"/>
        <w:rPr/>
      </w:pPr>
      <w:r w:rsidDel="00000000" w:rsidR="00000000" w:rsidRPr="00000000">
        <w:rPr>
          <w:rtl w:val="0"/>
        </w:rPr>
        <w:t xml:space="preserve">SE PIDE: contabilidad que tiene que realizar el  inversor durante la vida del Bono suponiendo que lo vende el 31.12.20x4 (un año antes del vencimiento).</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jc w:val="center"/>
        <w:rPr/>
      </w:pPr>
      <w:r w:rsidDel="00000000" w:rsidR="00000000" w:rsidRPr="00000000">
        <w:rPr>
          <w:highlight w:val="white"/>
          <w:rtl w:val="0"/>
        </w:rPr>
        <w:t xml:space="preserve">SOLUCIÓN:</w:t>
      </w: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31.12.20x1. Adquisición de un bono en moneda extranjera:</w:t>
      </w:r>
    </w:p>
    <w:tbl>
      <w:tblPr>
        <w:tblStyle w:val="Table2"/>
        <w:tblW w:w="854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5"/>
        <w:gridCol w:w="2765"/>
        <w:gridCol w:w="335"/>
        <w:gridCol w:w="2735"/>
        <w:gridCol w:w="1355"/>
        <w:tblGridChange w:id="0">
          <w:tblGrid>
            <w:gridCol w:w="1355"/>
            <w:gridCol w:w="2765"/>
            <w:gridCol w:w="335"/>
            <w:gridCol w:w="2735"/>
            <w:gridCol w:w="1355"/>
          </w:tblGrid>
        </w:tblGridChange>
      </w:tblGrid>
      <w:tr>
        <w:tc>
          <w:tcPr>
            <w:shd w:fill="auto" w:val="clear"/>
            <w:tcMar>
              <w:top w:w="100.0" w:type="dxa"/>
              <w:left w:w="80.0" w:type="dxa"/>
              <w:bottom w:w="100.0" w:type="dxa"/>
              <w:right w:w="80.0" w:type="dxa"/>
            </w:tcMar>
            <w:vAlign w:val="top"/>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hd w:fill="auto" w:val="clear"/>
              <w:ind w:left="60" w:firstLine="0"/>
              <w:jc w:val="right"/>
              <w:rPr>
                <w:sz w:val="16"/>
                <w:szCs w:val="16"/>
              </w:rPr>
            </w:pPr>
            <w:r w:rsidDel="00000000" w:rsidR="00000000" w:rsidRPr="00000000">
              <w:rPr>
                <w:sz w:val="16"/>
                <w:szCs w:val="16"/>
                <w:rtl w:val="0"/>
              </w:rPr>
              <w:t xml:space="preserve">1.050.000,00 €</w:t>
            </w:r>
          </w:p>
        </w:tc>
        <w:tc>
          <w:tcPr>
            <w:shd w:fill="auto" w:val="clear"/>
            <w:tcMar>
              <w:top w:w="100.0" w:type="dxa"/>
              <w:left w:w="80.0" w:type="dxa"/>
              <w:bottom w:w="100.0" w:type="dxa"/>
              <w:right w:w="80.0" w:type="dxa"/>
            </w:tcMar>
            <w:vAlign w:val="top"/>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251. Valores representativos de deuda a largo plazo</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(1.045.000 $ + 5.000 $) x 1 €/$</w:t>
            </w:r>
          </w:p>
        </w:tc>
        <w:tc>
          <w:tcPr>
            <w:shd w:fill="auto" w:val="clear"/>
            <w:tcMar>
              <w:top w:w="100.0" w:type="dxa"/>
              <w:left w:w="80.0" w:type="dxa"/>
              <w:bottom w:w="100.0" w:type="dxa"/>
              <w:right w:w="80.0" w:type="dxa"/>
            </w:tcMar>
            <w:vAlign w:val="top"/>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r>
      <w:tr>
        <w:tc>
          <w:tcPr>
            <w:shd w:fill="auto" w:val="clear"/>
            <w:tcMar>
              <w:top w:w="100.0" w:type="dxa"/>
              <w:left w:w="80.0" w:type="dxa"/>
              <w:bottom w:w="100.0" w:type="dxa"/>
              <w:right w:w="80.0" w:type="dxa"/>
            </w:tcMar>
            <w:vAlign w:val="top"/>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572. Bancos e instituciones de crédito c/c vista, euros</w:t>
            </w:r>
          </w:p>
        </w:tc>
        <w:tc>
          <w:tcPr>
            <w:shd w:fill="auto" w:val="clear"/>
            <w:tcMar>
              <w:top w:w="100.0" w:type="dxa"/>
              <w:left w:w="80.0" w:type="dxa"/>
              <w:bottom w:w="100.0" w:type="dxa"/>
              <w:right w:w="80.0" w:type="dxa"/>
            </w:tcMar>
            <w:vAlign w:val="top"/>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1.050.000,00 €</w:t>
            </w:r>
          </w:p>
        </w:tc>
      </w:tr>
    </w:tbl>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hd w:fill="auto" w:val="clear"/>
        <w:spacing w:line="360" w:lineRule="auto"/>
        <w:jc w:val="both"/>
        <w:rPr/>
      </w:pPr>
      <w:r w:rsidDel="00000000" w:rsidR="00000000" w:rsidRPr="00000000">
        <w:rPr>
          <w:rtl w:val="0"/>
        </w:rPr>
        <w:t xml:space="preserve">De acuerdo con la NRV 9.ª PGC2007, apartado 2.6.1: “Los activos financieros disponibles para la venta se valorarán inicialmente por su valor razonable, que, salvo evidencia en contrario, será el precio de la transacción, que equivaldrá al valor razonable de la contraprestación entregada, más los costes de transacción que les sean directamente atribuibles.”</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hd w:fill="auto" w:val="clear"/>
        <w:spacing w:line="240" w:lineRule="auto"/>
        <w:jc w:val="both"/>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hd w:fill="auto" w:val="clear"/>
        <w:spacing w:line="360" w:lineRule="auto"/>
        <w:jc w:val="both"/>
        <w:rPr>
          <w:u w:val="single"/>
        </w:rPr>
      </w:pPr>
      <w:r w:rsidDel="00000000" w:rsidR="00000000" w:rsidRPr="00000000">
        <w:rPr>
          <w:u w:val="single"/>
          <w:rtl w:val="0"/>
        </w:rPr>
        <w:t xml:space="preserve">AÑO 20X2</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31.12.20x2. Por el cobro del cupón anual:</w:t>
      </w:r>
    </w:p>
    <w:tbl>
      <w:tblPr>
        <w:tblStyle w:val="Table3"/>
        <w:tblW w:w="854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5"/>
        <w:gridCol w:w="2750"/>
        <w:gridCol w:w="335"/>
        <w:gridCol w:w="2795"/>
        <w:gridCol w:w="1310"/>
        <w:tblGridChange w:id="0">
          <w:tblGrid>
            <w:gridCol w:w="1355"/>
            <w:gridCol w:w="2750"/>
            <w:gridCol w:w="335"/>
            <w:gridCol w:w="2795"/>
            <w:gridCol w:w="1310"/>
          </w:tblGrid>
        </w:tblGridChange>
      </w:tblGrid>
      <w:tr>
        <w:tc>
          <w:tcPr>
            <w:shd w:fill="auto" w:val="clear"/>
            <w:tcMar>
              <w:top w:w="100.0" w:type="dxa"/>
              <w:left w:w="80.0" w:type="dxa"/>
              <w:bottom w:w="100.0" w:type="dxa"/>
              <w:right w:w="80.0" w:type="dxa"/>
            </w:tcMar>
            <w:vAlign w:val="top"/>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hd w:fill="auto" w:val="clear"/>
              <w:ind w:left="60" w:firstLine="0"/>
              <w:jc w:val="right"/>
              <w:rPr>
                <w:sz w:val="16"/>
                <w:szCs w:val="16"/>
              </w:rPr>
            </w:pPr>
            <w:r w:rsidDel="00000000" w:rsidR="00000000" w:rsidRPr="00000000">
              <w:rPr>
                <w:sz w:val="16"/>
                <w:szCs w:val="16"/>
                <w:rtl w:val="0"/>
              </w:rPr>
              <w:t xml:space="preserve">48.000,00 €</w:t>
            </w:r>
          </w:p>
        </w:tc>
        <w:tc>
          <w:tcPr>
            <w:shd w:fill="auto" w:val="clear"/>
            <w:tcMar>
              <w:top w:w="100.0" w:type="dxa"/>
              <w:left w:w="80.0" w:type="dxa"/>
              <w:bottom w:w="100.0" w:type="dxa"/>
              <w:right w:w="80.0" w:type="dxa"/>
            </w:tcMar>
            <w:vAlign w:val="top"/>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572. Bancos e instituciones de crédito c/c vista, euros</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4 % x 1.000.000 $ x 1,2 €/$</w:t>
            </w:r>
          </w:p>
        </w:tc>
        <w:tc>
          <w:tcPr>
            <w:shd w:fill="auto" w:val="clear"/>
            <w:tcMar>
              <w:top w:w="100.0" w:type="dxa"/>
              <w:left w:w="80.0" w:type="dxa"/>
              <w:bottom w:w="100.0" w:type="dxa"/>
              <w:right w:w="80.0" w:type="dxa"/>
            </w:tcMar>
            <w:vAlign w:val="top"/>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r>
      <w:tr>
        <w:tc>
          <w:tcPr>
            <w:shd w:fill="auto" w:val="clear"/>
            <w:tcMar>
              <w:top w:w="100.0" w:type="dxa"/>
              <w:left w:w="80.0" w:type="dxa"/>
              <w:bottom w:w="100.0" w:type="dxa"/>
              <w:right w:w="80.0" w:type="dxa"/>
            </w:tcMar>
            <w:vAlign w:val="top"/>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761. Ingresos de valores representativos de deuda</w:t>
            </w:r>
          </w:p>
        </w:tc>
        <w:tc>
          <w:tcPr>
            <w:shd w:fill="auto" w:val="clear"/>
            <w:tcMar>
              <w:top w:w="100.0" w:type="dxa"/>
              <w:left w:w="80.0" w:type="dxa"/>
              <w:bottom w:w="100.0" w:type="dxa"/>
              <w:right w:w="80.0" w:type="dxa"/>
            </w:tcMar>
            <w:vAlign w:val="top"/>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48.000,00 €</w:t>
            </w:r>
          </w:p>
        </w:tc>
      </w:tr>
    </w:tbl>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31.12.20x2. Por el devengo de los intereses implícitos:</w:t>
      </w:r>
    </w:p>
    <w:tbl>
      <w:tblPr>
        <w:tblStyle w:val="Table4"/>
        <w:tblW w:w="854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5"/>
        <w:gridCol w:w="2750"/>
        <w:gridCol w:w="335"/>
        <w:gridCol w:w="2795"/>
        <w:gridCol w:w="1310"/>
        <w:tblGridChange w:id="0">
          <w:tblGrid>
            <w:gridCol w:w="1355"/>
            <w:gridCol w:w="2750"/>
            <w:gridCol w:w="335"/>
            <w:gridCol w:w="2795"/>
            <w:gridCol w:w="1310"/>
          </w:tblGrid>
        </w:tblGridChange>
      </w:tblGrid>
      <w:tr>
        <w:tc>
          <w:tcPr>
            <w:shd w:fill="auto" w:val="clear"/>
            <w:tcMar>
              <w:top w:w="100.0" w:type="dxa"/>
              <w:left w:w="80.0" w:type="dxa"/>
              <w:bottom w:w="100.0" w:type="dxa"/>
              <w:right w:w="80.0" w:type="dxa"/>
            </w:tcMar>
            <w:vAlign w:val="top"/>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hd w:fill="auto" w:val="clear"/>
              <w:ind w:left="60" w:firstLine="0"/>
              <w:jc w:val="right"/>
              <w:rPr>
                <w:sz w:val="16"/>
                <w:szCs w:val="16"/>
              </w:rPr>
            </w:pPr>
            <w:r w:rsidDel="00000000" w:rsidR="00000000" w:rsidRPr="00000000">
              <w:rPr>
                <w:sz w:val="16"/>
                <w:szCs w:val="16"/>
                <w:rtl w:val="0"/>
              </w:rPr>
              <w:t xml:space="preserve">25.300,00 €</w:t>
            </w:r>
          </w:p>
        </w:tc>
        <w:tc>
          <w:tcPr>
            <w:shd w:fill="auto" w:val="clear"/>
            <w:tcMar>
              <w:top w:w="100.0" w:type="dxa"/>
              <w:left w:w="80.0" w:type="dxa"/>
              <w:bottom w:w="100.0" w:type="dxa"/>
              <w:right w:w="80.0" w:type="dxa"/>
            </w:tcMar>
            <w:vAlign w:val="top"/>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251. Valores representativos de deuda a largo plazo</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23.000 $ x 1,1 €/$</w:t>
            </w:r>
          </w:p>
        </w:tc>
        <w:tc>
          <w:tcPr>
            <w:shd w:fill="auto" w:val="clear"/>
            <w:tcMar>
              <w:top w:w="100.0" w:type="dxa"/>
              <w:left w:w="80.0" w:type="dxa"/>
              <w:bottom w:w="100.0" w:type="dxa"/>
              <w:right w:w="80.0" w:type="dxa"/>
            </w:tcMar>
            <w:vAlign w:val="top"/>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r>
      <w:tr>
        <w:tc>
          <w:tcPr>
            <w:shd w:fill="auto" w:val="clear"/>
            <w:tcMar>
              <w:top w:w="100.0" w:type="dxa"/>
              <w:left w:w="80.0" w:type="dxa"/>
              <w:bottom w:w="100.0" w:type="dxa"/>
              <w:right w:w="80.0" w:type="dxa"/>
            </w:tcMar>
            <w:vAlign w:val="top"/>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761. Ingresos de valores representativos de deuda</w:t>
            </w:r>
          </w:p>
        </w:tc>
        <w:tc>
          <w:tcPr>
            <w:shd w:fill="auto" w:val="clear"/>
            <w:tcMar>
              <w:top w:w="100.0" w:type="dxa"/>
              <w:left w:w="80.0" w:type="dxa"/>
              <w:bottom w:w="100.0" w:type="dxa"/>
              <w:right w:w="80.0" w:type="dxa"/>
            </w:tcMar>
            <w:vAlign w:val="top"/>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25.300,00 €</w:t>
            </w:r>
          </w:p>
        </w:tc>
      </w:tr>
    </w:tbl>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31.12.20x2. Por el ajuste a valor razonable y las diferencias de cambio en moneda extranjera:</w:t>
      </w:r>
    </w:p>
    <w:tbl>
      <w:tblPr>
        <w:tblStyle w:val="Table5"/>
        <w:tblW w:w="854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5"/>
        <w:gridCol w:w="2765"/>
        <w:gridCol w:w="320"/>
        <w:gridCol w:w="2780"/>
        <w:gridCol w:w="1325"/>
        <w:tblGridChange w:id="0">
          <w:tblGrid>
            <w:gridCol w:w="1355"/>
            <w:gridCol w:w="2765"/>
            <w:gridCol w:w="320"/>
            <w:gridCol w:w="2780"/>
            <w:gridCol w:w="1325"/>
          </w:tblGrid>
        </w:tblGridChange>
      </w:tblGrid>
      <w:tr>
        <w:tc>
          <w:tcPr>
            <w:shd w:fill="auto" w:val="clear"/>
            <w:tcMar>
              <w:top w:w="100.0" w:type="dxa"/>
              <w:left w:w="80.0" w:type="dxa"/>
              <w:bottom w:w="100.0" w:type="dxa"/>
              <w:right w:w="80.0" w:type="dxa"/>
            </w:tcMar>
            <w:vAlign w:val="top"/>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hd w:fill="auto" w:val="clear"/>
              <w:ind w:left="60" w:firstLine="0"/>
              <w:jc w:val="right"/>
              <w:rPr>
                <w:sz w:val="16"/>
                <w:szCs w:val="16"/>
              </w:rPr>
            </w:pPr>
            <w:r w:rsidDel="00000000" w:rsidR="00000000" w:rsidRPr="00000000">
              <w:rPr>
                <w:sz w:val="16"/>
                <w:szCs w:val="16"/>
                <w:rtl w:val="0"/>
              </w:rPr>
              <w:t xml:space="preserve">220.700,00 €</w:t>
            </w:r>
          </w:p>
        </w:tc>
        <w:tc>
          <w:tcPr>
            <w:shd w:fill="auto" w:val="clear"/>
            <w:tcMar>
              <w:top w:w="100.0" w:type="dxa"/>
              <w:left w:w="80.0" w:type="dxa"/>
              <w:bottom w:w="100.0" w:type="dxa"/>
              <w:right w:w="80.0" w:type="dxa"/>
            </w:tcMar>
            <w:vAlign w:val="top"/>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251. Valores representativos de deuda a largo plazo</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hd w:fill="auto" w:val="clear"/>
              <w:ind w:left="60" w:firstLine="0"/>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1.080.000 $ (*) x 1,2 €/$ - (1.050.000 € + 25.300 €)</w:t>
            </w:r>
          </w:p>
        </w:tc>
        <w:tc>
          <w:tcPr>
            <w:shd w:fill="auto" w:val="clear"/>
            <w:tcMar>
              <w:top w:w="100.0" w:type="dxa"/>
              <w:left w:w="80.0" w:type="dxa"/>
              <w:bottom w:w="100.0" w:type="dxa"/>
              <w:right w:w="80.0" w:type="dxa"/>
            </w:tcMar>
            <w:vAlign w:val="top"/>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r>
      <w:tr>
        <w:tc>
          <w:tcPr>
            <w:shd w:fill="auto" w:val="clear"/>
            <w:tcMar>
              <w:top w:w="100.0" w:type="dxa"/>
              <w:left w:w="80.0" w:type="dxa"/>
              <w:bottom w:w="100.0" w:type="dxa"/>
              <w:right w:w="80.0" w:type="dxa"/>
            </w:tcMar>
            <w:vAlign w:val="top"/>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768. Diferencias positivas de cambio</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hd w:fill="auto" w:val="clear"/>
              <w:ind w:left="60" w:firstLine="0"/>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ver tabla</w:t>
            </w:r>
          </w:p>
        </w:tc>
        <w:tc>
          <w:tcPr>
            <w:shd w:fill="auto" w:val="clear"/>
            <w:tcMar>
              <w:top w:w="100.0" w:type="dxa"/>
              <w:left w:w="80.0" w:type="dxa"/>
              <w:bottom w:w="100.0" w:type="dxa"/>
              <w:right w:w="80.0" w:type="dxa"/>
            </w:tcMar>
            <w:vAlign w:val="top"/>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210.000,00 €</w:t>
            </w:r>
          </w:p>
        </w:tc>
      </w:tr>
      <w:tr>
        <w:tc>
          <w:tcPr>
            <w:shd w:fill="auto" w:val="clear"/>
            <w:tcMar>
              <w:top w:w="100.0" w:type="dxa"/>
              <w:left w:w="80.0" w:type="dxa"/>
              <w:bottom w:w="100.0" w:type="dxa"/>
              <w:right w:w="80.0" w:type="dxa"/>
            </w:tcMar>
            <w:vAlign w:val="top"/>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900. Beneficios en activos financieros disponibles para la venta</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hd w:fill="auto" w:val="clear"/>
              <w:ind w:left="60" w:firstLine="0"/>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diferencia: 220.700,00 € - 210.000,00 €</w:t>
            </w:r>
          </w:p>
        </w:tc>
        <w:tc>
          <w:tcPr>
            <w:shd w:fill="auto" w:val="clear"/>
            <w:tcMar>
              <w:top w:w="100.0" w:type="dxa"/>
              <w:left w:w="80.0" w:type="dxa"/>
              <w:bottom w:w="100.0" w:type="dxa"/>
              <w:right w:w="80.0" w:type="dxa"/>
            </w:tcMar>
            <w:vAlign w:val="top"/>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10.700 €</w:t>
            </w:r>
          </w:p>
        </w:tc>
      </w:tr>
    </w:tbl>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hd w:fill="auto" w:val="clea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OJO: en caso de que los intereses explícitos (cupones) no se hubiesen pagado, hay que tener en cuenta que el valor razonable del activo financiero incluye el cupón y habrá que restarlo para determinar el valor razonable del activo financiero sin cupón.</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Por la cancelación de la cuenta 900, al final del ejercicio:</w:t>
      </w:r>
    </w:p>
    <w:tbl>
      <w:tblPr>
        <w:tblStyle w:val="Table6"/>
        <w:tblW w:w="854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5"/>
        <w:gridCol w:w="2750"/>
        <w:gridCol w:w="335"/>
        <w:gridCol w:w="2780"/>
        <w:gridCol w:w="1325"/>
        <w:tblGridChange w:id="0">
          <w:tblGrid>
            <w:gridCol w:w="1355"/>
            <w:gridCol w:w="2750"/>
            <w:gridCol w:w="335"/>
            <w:gridCol w:w="2780"/>
            <w:gridCol w:w="1325"/>
          </w:tblGrid>
        </w:tblGridChange>
      </w:tblGrid>
      <w:tr>
        <w:tc>
          <w:tcPr>
            <w:shd w:fill="auto" w:val="clear"/>
            <w:tcMar>
              <w:top w:w="100.0" w:type="dxa"/>
              <w:left w:w="80.0" w:type="dxa"/>
              <w:bottom w:w="100.0" w:type="dxa"/>
              <w:right w:w="80.0" w:type="dxa"/>
            </w:tcMar>
            <w:vAlign w:val="top"/>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hd w:fill="auto" w:val="clear"/>
              <w:ind w:left="60" w:firstLine="0"/>
              <w:jc w:val="right"/>
              <w:rPr>
                <w:sz w:val="16"/>
                <w:szCs w:val="16"/>
              </w:rPr>
            </w:pPr>
            <w:r w:rsidDel="00000000" w:rsidR="00000000" w:rsidRPr="00000000">
              <w:rPr>
                <w:sz w:val="16"/>
                <w:szCs w:val="16"/>
                <w:rtl w:val="0"/>
              </w:rPr>
              <w:t xml:space="preserve">10.700,00 €</w:t>
            </w:r>
          </w:p>
        </w:tc>
        <w:tc>
          <w:tcPr>
            <w:shd w:fill="auto" w:val="clear"/>
            <w:tcMar>
              <w:top w:w="100.0" w:type="dxa"/>
              <w:left w:w="80.0" w:type="dxa"/>
              <w:bottom w:w="100.0" w:type="dxa"/>
              <w:right w:w="80.0" w:type="dxa"/>
            </w:tcMar>
            <w:vAlign w:val="top"/>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900. Beneficios en activos financieros disponibles para la venta</w:t>
            </w:r>
          </w:p>
        </w:tc>
        <w:tc>
          <w:tcPr>
            <w:shd w:fill="auto" w:val="clear"/>
            <w:tcMar>
              <w:top w:w="100.0" w:type="dxa"/>
              <w:left w:w="80.0" w:type="dxa"/>
              <w:bottom w:w="100.0" w:type="dxa"/>
              <w:right w:w="80.0" w:type="dxa"/>
            </w:tcMar>
            <w:vAlign w:val="top"/>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r>
      <w:tr>
        <w:tc>
          <w:tcPr>
            <w:shd w:fill="auto" w:val="clear"/>
            <w:tcMar>
              <w:top w:w="100.0" w:type="dxa"/>
              <w:left w:w="80.0" w:type="dxa"/>
              <w:bottom w:w="100.0" w:type="dxa"/>
              <w:right w:w="80.0" w:type="dxa"/>
            </w:tcMar>
            <w:vAlign w:val="top"/>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133. Ajustes por valoración en activos financieros disponibles para la venta</w:t>
            </w:r>
          </w:p>
        </w:tc>
        <w:tc>
          <w:tcPr>
            <w:shd w:fill="auto" w:val="clear"/>
            <w:tcMar>
              <w:top w:w="100.0" w:type="dxa"/>
              <w:left w:w="80.0" w:type="dxa"/>
              <w:bottom w:w="100.0" w:type="dxa"/>
              <w:right w:w="80.0" w:type="dxa"/>
            </w:tcMar>
            <w:vAlign w:val="top"/>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10.700,00 €</w:t>
            </w:r>
          </w:p>
        </w:tc>
      </w:tr>
    </w:tbl>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hd w:fill="auto" w:val="clear"/>
        <w:spacing w:line="360" w:lineRule="auto"/>
        <w:jc w:val="both"/>
        <w:rPr/>
      </w:pPr>
      <w:r w:rsidDel="00000000" w:rsidR="00000000" w:rsidRPr="00000000">
        <w:rPr>
          <w:rtl w:val="0"/>
        </w:rPr>
        <w:t xml:space="preserve">Establece la NRV 11.ª PGC2007, apartado 1.2.1 sobre valoración posterior de partidas monetarias: “En el caso particular de los activos financieros de carácter monetario clasificados como disponibles para la venta, la determinación de las diferencias de cambio producidas por la variación del tipo de cambio entre la fecha de la transacción y la fecha del cierre del ejercicio, se realizará como si dichos activos se valorasen al coste amortizado en la moneda extranjera, de forma que las diferencias de cambio serán las resultantes de las variaciones en dicho coste amortizado como consecuencia de las variaciones en los tipos de cambio, independientemente de su valor razonable. Las diferencias de cambio así calculadas se reconocerán en la cuenta de pérdidas y ganancias del ejercicio en el que surjan, mientras que los otros cambios en el importe en libros de estos activos financieros se reconocerán directamente en el patrimonio neto de acuerdo con lo dispuesto en el apartado 2.6.2 de la norma relativa a instrumentos financieros.”</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hd w:fill="auto" w:val="clear"/>
        <w:spacing w:line="360" w:lineRule="auto"/>
        <w:jc w:val="both"/>
        <w:rPr/>
      </w:pPr>
      <w:r w:rsidDel="00000000" w:rsidR="00000000" w:rsidRPr="00000000">
        <w:rPr>
          <w:rtl w:val="0"/>
        </w:rPr>
        <w:t xml:space="preserve">En relación a la valoración posterior de un activo financiero, clasificado como “disponibles para la venta”, hay que tener en cuenta lo dispuesto en el apartado 2.6.2 de la NRV 9 PGC2007 señala: Los activos financieros disponibles para la venta se valorarán por su valor razonable, sin deducir los costes de transacción en que se pudiera incurrir en su enajenación. Los cambios que se produzcan en el valor razonable se registrarán directamente en el patrimonio neto, hasta que el activo financiero cause baja del balance o se deteriore, momento en que el importe así reconocido, se imputará a la cuenta de pérdidas y ganancias.</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hd w:fill="auto" w:val="clear"/>
        <w:spacing w:line="240" w:lineRule="auto"/>
        <w:jc w:val="both"/>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hd w:fill="auto" w:val="clear"/>
        <w:spacing w:line="360" w:lineRule="auto"/>
        <w:jc w:val="both"/>
        <w:rPr/>
      </w:pPr>
      <w:r w:rsidDel="00000000" w:rsidR="00000000" w:rsidRPr="00000000">
        <w:rPr>
          <w:rtl w:val="0"/>
        </w:rPr>
        <w:t xml:space="preserve">Además para valorar a coste amortizado a efectos de las diferencias de cambio el apartado 6.º del Marco Conceptual de la Contabilidad PGC2007, dispone en su punto 7:</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hd w:fill="auto" w:val="clear"/>
        <w:spacing w:line="240" w:lineRule="auto"/>
        <w:jc w:val="both"/>
        <w:rPr/>
      </w:pP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hd w:fill="auto" w:val="clear"/>
        <w:spacing w:line="360" w:lineRule="auto"/>
        <w:jc w:val="both"/>
        <w:rPr/>
      </w:pPr>
      <w:r w:rsidDel="00000000" w:rsidR="00000000" w:rsidRPr="00000000">
        <w:rPr>
          <w:rtl w:val="0"/>
        </w:rPr>
        <w:t xml:space="preserve">“El coste amortizado de un instrumento financiero es el importe al que inicialmente fue valorado un activo financiero o un pasivo financiero, menos los reembolsos de principal que se hubieran producido, más o menos, según proceda, la parte imputada en la cuenta de pérdidas y ganancias, mediante la utilización del método del tipo de interés efectivo, de la diferencia entre el importe inicial y el valor de reembolso en el vencimiento y, para el caso de los activos financieros, menos cualquier reducción de valor por deterioro que hubiera sido reconocida, ya sea directamente como una disminución del importe del activo o mediante una cuenta correctora de su valor.</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hd w:fill="auto" w:val="clear"/>
        <w:spacing w:line="360" w:lineRule="auto"/>
        <w:jc w:val="both"/>
        <w:rPr/>
      </w:pPr>
      <w:r w:rsidDel="00000000" w:rsidR="00000000" w:rsidRPr="00000000">
        <w:rPr>
          <w:rtl w:val="0"/>
        </w:rPr>
        <w:t xml:space="preserve">El tipo de interés efectivo es el tipo de actualización que iguala el valor en libros de un instrumento financiero con los flujos de efectivo estimados a lo largo de la vida esperada del instrumento, a partir de sus condiciones contractuales y sin considerar las pérdidas por riesgo de crédito futuras; en su cálculo se incluirán las comisiones financieras que se carguen por adelantado en la concesión de financiación.”</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hd w:fill="auto" w:val="clear"/>
        <w:spacing w:line="240" w:lineRule="auto"/>
        <w:rPr>
          <w:u w:val="single"/>
        </w:rPr>
      </w:pPr>
      <w:r w:rsidDel="00000000" w:rsidR="00000000" w:rsidRPr="00000000">
        <w:rPr>
          <w:u w:val="single"/>
          <w:rtl w:val="0"/>
        </w:rPr>
        <w:t xml:space="preserve">AÑO 20X3</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31.12.20x3. Por el cobro del cupón anual:</w:t>
      </w:r>
    </w:p>
    <w:tbl>
      <w:tblPr>
        <w:tblStyle w:val="Table7"/>
        <w:tblW w:w="854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5"/>
        <w:gridCol w:w="2750"/>
        <w:gridCol w:w="335"/>
        <w:gridCol w:w="2795"/>
        <w:gridCol w:w="1310"/>
        <w:tblGridChange w:id="0">
          <w:tblGrid>
            <w:gridCol w:w="1355"/>
            <w:gridCol w:w="2750"/>
            <w:gridCol w:w="335"/>
            <w:gridCol w:w="2795"/>
            <w:gridCol w:w="1310"/>
          </w:tblGrid>
        </w:tblGridChange>
      </w:tblGrid>
      <w:tr>
        <w:tc>
          <w:tcPr>
            <w:shd w:fill="auto" w:val="clear"/>
            <w:tcMar>
              <w:top w:w="100.0" w:type="dxa"/>
              <w:left w:w="80.0" w:type="dxa"/>
              <w:bottom w:w="100.0" w:type="dxa"/>
              <w:right w:w="80.0" w:type="dxa"/>
            </w:tcMar>
            <w:vAlign w:val="top"/>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hd w:fill="auto" w:val="clear"/>
              <w:ind w:left="60" w:firstLine="0"/>
              <w:jc w:val="right"/>
              <w:rPr>
                <w:sz w:val="16"/>
                <w:szCs w:val="16"/>
              </w:rPr>
            </w:pPr>
            <w:r w:rsidDel="00000000" w:rsidR="00000000" w:rsidRPr="00000000">
              <w:rPr>
                <w:sz w:val="16"/>
                <w:szCs w:val="16"/>
                <w:rtl w:val="0"/>
              </w:rPr>
              <w:t xml:space="preserve">52.000,00 €</w:t>
            </w:r>
          </w:p>
        </w:tc>
        <w:tc>
          <w:tcPr>
            <w:shd w:fill="auto" w:val="clear"/>
            <w:tcMar>
              <w:top w:w="100.0" w:type="dxa"/>
              <w:left w:w="80.0" w:type="dxa"/>
              <w:bottom w:w="100.0" w:type="dxa"/>
              <w:right w:w="80.0" w:type="dxa"/>
            </w:tcMar>
            <w:vAlign w:val="top"/>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572. Bancos e instituciones de crédito c/c vista, euros</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hd w:fill="auto" w:val="clear"/>
              <w:ind w:left="60" w:firstLine="0"/>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4 % x 1.000.000 $ x 1,3 €/$</w:t>
            </w:r>
          </w:p>
        </w:tc>
        <w:tc>
          <w:tcPr>
            <w:shd w:fill="auto" w:val="clear"/>
            <w:tcMar>
              <w:top w:w="100.0" w:type="dxa"/>
              <w:left w:w="80.0" w:type="dxa"/>
              <w:bottom w:w="100.0" w:type="dxa"/>
              <w:right w:w="80.0" w:type="dxa"/>
            </w:tcMar>
            <w:vAlign w:val="top"/>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r>
      <w:tr>
        <w:tc>
          <w:tcPr>
            <w:shd w:fill="auto" w:val="clear"/>
            <w:tcMar>
              <w:top w:w="100.0" w:type="dxa"/>
              <w:left w:w="80.0" w:type="dxa"/>
              <w:bottom w:w="100.0" w:type="dxa"/>
              <w:right w:w="80.0" w:type="dxa"/>
            </w:tcMar>
            <w:vAlign w:val="top"/>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761. Ingresos de valores representativos de deuda</w:t>
            </w:r>
          </w:p>
        </w:tc>
        <w:tc>
          <w:tcPr>
            <w:shd w:fill="auto" w:val="clear"/>
            <w:tcMar>
              <w:top w:w="100.0" w:type="dxa"/>
              <w:left w:w="80.0" w:type="dxa"/>
              <w:bottom w:w="100.0" w:type="dxa"/>
              <w:right w:w="80.0" w:type="dxa"/>
            </w:tcMar>
            <w:vAlign w:val="top"/>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52.000,00 €</w:t>
            </w:r>
          </w:p>
        </w:tc>
      </w:tr>
    </w:tbl>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31.12.20x3. Por el devengo de los intereses implícitos:</w:t>
      </w:r>
    </w:p>
    <w:tbl>
      <w:tblPr>
        <w:tblStyle w:val="Table8"/>
        <w:tblW w:w="854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5"/>
        <w:gridCol w:w="2750"/>
        <w:gridCol w:w="335"/>
        <w:gridCol w:w="2795"/>
        <w:gridCol w:w="1310"/>
        <w:tblGridChange w:id="0">
          <w:tblGrid>
            <w:gridCol w:w="1355"/>
            <w:gridCol w:w="2750"/>
            <w:gridCol w:w="335"/>
            <w:gridCol w:w="2795"/>
            <w:gridCol w:w="1310"/>
          </w:tblGrid>
        </w:tblGridChange>
      </w:tblGrid>
      <w:tr>
        <w:tc>
          <w:tcPr>
            <w:shd w:fill="auto" w:val="clear"/>
            <w:tcMar>
              <w:top w:w="100.0" w:type="dxa"/>
              <w:left w:w="80.0" w:type="dxa"/>
              <w:bottom w:w="100.0" w:type="dxa"/>
              <w:right w:w="80.0" w:type="dxa"/>
            </w:tcMar>
            <w:vAlign w:val="top"/>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hd w:fill="auto" w:val="clear"/>
              <w:ind w:left="60" w:firstLine="0"/>
              <w:jc w:val="right"/>
              <w:rPr>
                <w:sz w:val="16"/>
                <w:szCs w:val="16"/>
              </w:rPr>
            </w:pPr>
            <w:r w:rsidDel="00000000" w:rsidR="00000000" w:rsidRPr="00000000">
              <w:rPr>
                <w:sz w:val="16"/>
                <w:szCs w:val="16"/>
                <w:rtl w:val="0"/>
              </w:rPr>
              <w:t xml:space="preserve">29.256,00 €</w:t>
            </w:r>
          </w:p>
        </w:tc>
        <w:tc>
          <w:tcPr>
            <w:shd w:fill="auto" w:val="clear"/>
            <w:tcMar>
              <w:top w:w="100.0" w:type="dxa"/>
              <w:left w:w="80.0" w:type="dxa"/>
              <w:bottom w:w="100.0" w:type="dxa"/>
              <w:right w:w="80.0" w:type="dxa"/>
            </w:tcMar>
            <w:vAlign w:val="top"/>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251. Valores representativos de deuda a largo plazo</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24.380 $ x 1,2 €/$</w:t>
            </w:r>
          </w:p>
        </w:tc>
        <w:tc>
          <w:tcPr>
            <w:shd w:fill="auto" w:val="clear"/>
            <w:tcMar>
              <w:top w:w="100.0" w:type="dxa"/>
              <w:left w:w="80.0" w:type="dxa"/>
              <w:bottom w:w="100.0" w:type="dxa"/>
              <w:right w:w="80.0" w:type="dxa"/>
            </w:tcMar>
            <w:vAlign w:val="top"/>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r>
      <w:tr>
        <w:tc>
          <w:tcPr>
            <w:shd w:fill="auto" w:val="clear"/>
            <w:tcMar>
              <w:top w:w="100.0" w:type="dxa"/>
              <w:left w:w="80.0" w:type="dxa"/>
              <w:bottom w:w="100.0" w:type="dxa"/>
              <w:right w:w="80.0" w:type="dxa"/>
            </w:tcMar>
            <w:vAlign w:val="top"/>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761. Ingresos de valores representativos de deuda</w:t>
            </w:r>
          </w:p>
        </w:tc>
        <w:tc>
          <w:tcPr>
            <w:shd w:fill="auto" w:val="clear"/>
            <w:tcMar>
              <w:top w:w="100.0" w:type="dxa"/>
              <w:left w:w="80.0" w:type="dxa"/>
              <w:bottom w:w="100.0" w:type="dxa"/>
              <w:right w:w="80.0" w:type="dxa"/>
            </w:tcMar>
            <w:vAlign w:val="top"/>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29.256,00 €</w:t>
            </w:r>
          </w:p>
        </w:tc>
      </w:tr>
    </w:tbl>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31.12.20x3. Por el ajuste a valor razonable y las diferencias de cambio en moneda extranjera:</w:t>
      </w:r>
    </w:p>
    <w:tbl>
      <w:tblPr>
        <w:tblStyle w:val="Table9"/>
        <w:tblW w:w="854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5"/>
        <w:gridCol w:w="2765"/>
        <w:gridCol w:w="320"/>
        <w:gridCol w:w="2780"/>
        <w:gridCol w:w="1325"/>
        <w:tblGridChange w:id="0">
          <w:tblGrid>
            <w:gridCol w:w="1355"/>
            <w:gridCol w:w="2765"/>
            <w:gridCol w:w="320"/>
            <w:gridCol w:w="2780"/>
            <w:gridCol w:w="1325"/>
          </w:tblGrid>
        </w:tblGridChange>
      </w:tblGrid>
      <w:tr>
        <w:tc>
          <w:tcPr>
            <w:shd w:fill="auto" w:val="clear"/>
            <w:tcMar>
              <w:top w:w="100.0" w:type="dxa"/>
              <w:left w:w="80.0" w:type="dxa"/>
              <w:bottom w:w="100.0" w:type="dxa"/>
              <w:right w:w="80.0" w:type="dxa"/>
            </w:tcMar>
            <w:vAlign w:val="top"/>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hd w:fill="auto" w:val="clear"/>
              <w:ind w:left="60" w:firstLine="0"/>
              <w:jc w:val="right"/>
              <w:rPr>
                <w:sz w:val="16"/>
                <w:szCs w:val="16"/>
              </w:rPr>
            </w:pPr>
            <w:r w:rsidDel="00000000" w:rsidR="00000000" w:rsidRPr="00000000">
              <w:rPr>
                <w:sz w:val="16"/>
                <w:szCs w:val="16"/>
                <w:rtl w:val="0"/>
              </w:rPr>
              <w:t xml:space="preserve">104.744,00 €</w:t>
            </w:r>
          </w:p>
        </w:tc>
        <w:tc>
          <w:tcPr>
            <w:shd w:fill="auto" w:val="clear"/>
            <w:tcMar>
              <w:top w:w="100.0" w:type="dxa"/>
              <w:left w:w="80.0" w:type="dxa"/>
              <w:bottom w:w="100.0" w:type="dxa"/>
              <w:right w:w="80.0" w:type="dxa"/>
            </w:tcMar>
            <w:vAlign w:val="top"/>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251. Valores representativos de deuda a largo plazo</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hd w:fill="auto" w:val="clear"/>
              <w:ind w:left="60" w:firstLine="0"/>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1.100.000 $ x 1,3 €/$ - (1.080.000 $ x 1,2 €/$ + 29.256 €)</w:t>
            </w:r>
          </w:p>
        </w:tc>
        <w:tc>
          <w:tcPr>
            <w:shd w:fill="auto" w:val="clear"/>
            <w:tcMar>
              <w:top w:w="100.0" w:type="dxa"/>
              <w:left w:w="80.0" w:type="dxa"/>
              <w:bottom w:w="100.0" w:type="dxa"/>
              <w:right w:w="80.0" w:type="dxa"/>
            </w:tcMar>
            <w:vAlign w:val="top"/>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r>
      <w:tr>
        <w:tc>
          <w:tcPr>
            <w:shd w:fill="auto" w:val="clear"/>
            <w:tcMar>
              <w:top w:w="100.0" w:type="dxa"/>
              <w:left w:w="80.0" w:type="dxa"/>
              <w:bottom w:w="100.0" w:type="dxa"/>
              <w:right w:w="80.0" w:type="dxa"/>
            </w:tcMar>
            <w:vAlign w:val="top"/>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hd w:fill="auto" w:val="clear"/>
              <w:ind w:left="60" w:firstLine="0"/>
              <w:jc w:val="right"/>
              <w:rPr>
                <w:sz w:val="16"/>
                <w:szCs w:val="16"/>
              </w:rPr>
            </w:pPr>
            <w:r w:rsidDel="00000000" w:rsidR="00000000" w:rsidRPr="00000000">
              <w:rPr>
                <w:sz w:val="16"/>
                <w:szCs w:val="16"/>
                <w:rtl w:val="0"/>
              </w:rPr>
              <w:t xml:space="preserve"> 2.556,00 €</w:t>
            </w:r>
          </w:p>
        </w:tc>
        <w:tc>
          <w:tcPr>
            <w:shd w:fill="auto" w:val="clear"/>
            <w:tcMar>
              <w:top w:w="100.0" w:type="dxa"/>
              <w:left w:w="80.0" w:type="dxa"/>
              <w:bottom w:w="100.0" w:type="dxa"/>
              <w:right w:w="80.0" w:type="dxa"/>
            </w:tcMar>
            <w:vAlign w:val="top"/>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800. Pérdidas en activos financieros disponibles para la venta</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rFonts w:ascii="Arial Narrow" w:cs="Arial Narrow" w:eastAsia="Arial Narrow" w:hAnsi="Arial Narrow"/>
                <w:sz w:val="16"/>
                <w:szCs w:val="16"/>
                <w:rtl w:val="0"/>
              </w:rPr>
              <w:t xml:space="preserve">diferencia: 107.300 € - 104.744 €</w:t>
            </w: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rtl w:val="0"/>
              </w:rPr>
            </w:r>
          </w:p>
        </w:tc>
        <w:tc>
          <w:tcPr>
            <w:shd w:fill="auto" w:val="clear"/>
            <w:tcMar>
              <w:top w:w="100.0" w:type="dxa"/>
              <w:left w:w="80.0" w:type="dxa"/>
              <w:bottom w:w="100.0" w:type="dxa"/>
              <w:right w:w="80.0" w:type="dxa"/>
            </w:tcMar>
            <w:vAlign w:val="top"/>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rtl w:val="0"/>
              </w:rPr>
            </w:r>
          </w:p>
        </w:tc>
      </w:tr>
      <w:tr>
        <w:tc>
          <w:tcPr>
            <w:shd w:fill="auto" w:val="clear"/>
            <w:tcMar>
              <w:top w:w="100.0" w:type="dxa"/>
              <w:left w:w="80.0" w:type="dxa"/>
              <w:bottom w:w="100.0" w:type="dxa"/>
              <w:right w:w="80.0" w:type="dxa"/>
            </w:tcMar>
            <w:vAlign w:val="top"/>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rtl w:val="0"/>
              </w:rPr>
            </w:r>
          </w:p>
        </w:tc>
        <w:tc>
          <w:tcPr>
            <w:shd w:fill="auto" w:val="clear"/>
            <w:tcMar>
              <w:top w:w="100.0" w:type="dxa"/>
              <w:left w:w="80.0" w:type="dxa"/>
              <w:bottom w:w="100.0" w:type="dxa"/>
              <w:right w:w="80.0" w:type="dxa"/>
            </w:tcMar>
            <w:vAlign w:val="top"/>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768. Diferencias positivas de cambio</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rFonts w:ascii="Arial Narrow" w:cs="Arial Narrow" w:eastAsia="Arial Narrow" w:hAnsi="Arial Narrow"/>
                <w:sz w:val="16"/>
                <w:szCs w:val="16"/>
                <w:rtl w:val="0"/>
              </w:rPr>
              <w:t xml:space="preserve">ver tabla</w:t>
            </w:r>
            <w:r w:rsidDel="00000000" w:rsidR="00000000" w:rsidRPr="00000000">
              <w:rPr>
                <w:rtl w:val="0"/>
              </w:rPr>
            </w:r>
          </w:p>
        </w:tc>
        <w:tc>
          <w:tcPr>
            <w:shd w:fill="auto" w:val="clear"/>
            <w:tcMar>
              <w:top w:w="100.0" w:type="dxa"/>
              <w:left w:w="80.0" w:type="dxa"/>
              <w:bottom w:w="100.0" w:type="dxa"/>
              <w:right w:w="80.0" w:type="dxa"/>
            </w:tcMar>
            <w:vAlign w:val="top"/>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107.300,00 €</w:t>
            </w:r>
          </w:p>
        </w:tc>
      </w:tr>
    </w:tbl>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Por la cancelación de la cuenta 900, al final del ejercicio:</w:t>
      </w:r>
    </w:p>
    <w:tbl>
      <w:tblPr>
        <w:tblStyle w:val="Table10"/>
        <w:tblW w:w="854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5"/>
        <w:gridCol w:w="2750"/>
        <w:gridCol w:w="335"/>
        <w:gridCol w:w="2780"/>
        <w:gridCol w:w="1325"/>
        <w:tblGridChange w:id="0">
          <w:tblGrid>
            <w:gridCol w:w="1355"/>
            <w:gridCol w:w="2750"/>
            <w:gridCol w:w="335"/>
            <w:gridCol w:w="2780"/>
            <w:gridCol w:w="1325"/>
          </w:tblGrid>
        </w:tblGridChange>
      </w:tblGrid>
      <w:tr>
        <w:tc>
          <w:tcPr>
            <w:shd w:fill="auto" w:val="clear"/>
            <w:tcMar>
              <w:top w:w="100.0" w:type="dxa"/>
              <w:left w:w="80.0" w:type="dxa"/>
              <w:bottom w:w="100.0" w:type="dxa"/>
              <w:right w:w="80.0" w:type="dxa"/>
            </w:tcMar>
            <w:vAlign w:val="top"/>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hd w:fill="auto" w:val="clear"/>
              <w:ind w:left="60" w:firstLine="0"/>
              <w:jc w:val="right"/>
              <w:rPr>
                <w:sz w:val="16"/>
                <w:szCs w:val="16"/>
              </w:rPr>
            </w:pPr>
            <w:r w:rsidDel="00000000" w:rsidR="00000000" w:rsidRPr="00000000">
              <w:rPr>
                <w:sz w:val="16"/>
                <w:szCs w:val="16"/>
                <w:rtl w:val="0"/>
              </w:rPr>
              <w:t xml:space="preserve"> 2.556,00 €</w:t>
            </w:r>
          </w:p>
        </w:tc>
        <w:tc>
          <w:tcPr>
            <w:shd w:fill="auto" w:val="clear"/>
            <w:tcMar>
              <w:top w:w="100.0" w:type="dxa"/>
              <w:left w:w="80.0" w:type="dxa"/>
              <w:bottom w:w="100.0" w:type="dxa"/>
              <w:right w:w="80.0" w:type="dxa"/>
            </w:tcMar>
            <w:vAlign w:val="top"/>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133. Ajustes por valoración en activos financieros disponibles para la venta</w:t>
            </w:r>
          </w:p>
        </w:tc>
        <w:tc>
          <w:tcPr>
            <w:shd w:fill="auto" w:val="clear"/>
            <w:tcMar>
              <w:top w:w="100.0" w:type="dxa"/>
              <w:left w:w="80.0" w:type="dxa"/>
              <w:bottom w:w="100.0" w:type="dxa"/>
              <w:right w:w="80.0" w:type="dxa"/>
            </w:tcMar>
            <w:vAlign w:val="top"/>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r>
      <w:tr>
        <w:tc>
          <w:tcPr>
            <w:shd w:fill="auto" w:val="clear"/>
            <w:tcMar>
              <w:top w:w="100.0" w:type="dxa"/>
              <w:left w:w="80.0" w:type="dxa"/>
              <w:bottom w:w="100.0" w:type="dxa"/>
              <w:right w:w="80.0" w:type="dxa"/>
            </w:tcMar>
            <w:vAlign w:val="top"/>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800. Beneficios en activos financieros disponibles para la venta</w:t>
            </w:r>
          </w:p>
        </w:tc>
        <w:tc>
          <w:tcPr>
            <w:shd w:fill="auto" w:val="clear"/>
            <w:tcMar>
              <w:top w:w="100.0" w:type="dxa"/>
              <w:left w:w="80.0" w:type="dxa"/>
              <w:bottom w:w="100.0" w:type="dxa"/>
              <w:right w:w="80.0" w:type="dxa"/>
            </w:tcMar>
            <w:vAlign w:val="top"/>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2.556,00 €</w:t>
            </w:r>
          </w:p>
        </w:tc>
      </w:tr>
    </w:tbl>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AÑO 20X4:</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31.12.20x4. Por el cobro del cupón anual:</w:t>
      </w:r>
    </w:p>
    <w:tbl>
      <w:tblPr>
        <w:tblStyle w:val="Table11"/>
        <w:tblW w:w="854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5"/>
        <w:gridCol w:w="2750"/>
        <w:gridCol w:w="335"/>
        <w:gridCol w:w="2795"/>
        <w:gridCol w:w="1310"/>
        <w:tblGridChange w:id="0">
          <w:tblGrid>
            <w:gridCol w:w="1355"/>
            <w:gridCol w:w="2750"/>
            <w:gridCol w:w="335"/>
            <w:gridCol w:w="2795"/>
            <w:gridCol w:w="1310"/>
          </w:tblGrid>
        </w:tblGridChange>
      </w:tblGrid>
      <w:tr>
        <w:tc>
          <w:tcPr>
            <w:shd w:fill="auto" w:val="clear"/>
            <w:tcMar>
              <w:top w:w="100.0" w:type="dxa"/>
              <w:left w:w="80.0" w:type="dxa"/>
              <w:bottom w:w="100.0" w:type="dxa"/>
              <w:right w:w="80.0" w:type="dxa"/>
            </w:tcMar>
            <w:vAlign w:val="top"/>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hd w:fill="auto" w:val="clear"/>
              <w:ind w:left="60" w:firstLine="0"/>
              <w:jc w:val="right"/>
              <w:rPr>
                <w:sz w:val="16"/>
                <w:szCs w:val="16"/>
              </w:rPr>
            </w:pPr>
            <w:r w:rsidDel="00000000" w:rsidR="00000000" w:rsidRPr="00000000">
              <w:rPr>
                <w:sz w:val="16"/>
                <w:szCs w:val="16"/>
                <w:rtl w:val="0"/>
              </w:rPr>
              <w:t xml:space="preserve">40.000,00 €</w:t>
            </w:r>
          </w:p>
        </w:tc>
        <w:tc>
          <w:tcPr>
            <w:shd w:fill="auto" w:val="clear"/>
            <w:tcMar>
              <w:top w:w="100.0" w:type="dxa"/>
              <w:left w:w="80.0" w:type="dxa"/>
              <w:bottom w:w="100.0" w:type="dxa"/>
              <w:right w:w="80.0" w:type="dxa"/>
            </w:tcMar>
            <w:vAlign w:val="top"/>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572. Bancos e instituciones de crédito c/c vista, euros</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rFonts w:ascii="Arial Narrow" w:cs="Arial Narrow" w:eastAsia="Arial Narrow" w:hAnsi="Arial Narrow"/>
                <w:sz w:val="16"/>
                <w:szCs w:val="16"/>
                <w:rtl w:val="0"/>
              </w:rPr>
              <w:t xml:space="preserve">4 % x 1.000.000 $ x 1 €/$</w:t>
            </w:r>
            <w:r w:rsidDel="00000000" w:rsidR="00000000" w:rsidRPr="00000000">
              <w:rPr>
                <w:rtl w:val="0"/>
              </w:rPr>
            </w:r>
          </w:p>
        </w:tc>
        <w:tc>
          <w:tcPr>
            <w:shd w:fill="auto" w:val="clear"/>
            <w:tcMar>
              <w:top w:w="100.0" w:type="dxa"/>
              <w:left w:w="80.0" w:type="dxa"/>
              <w:bottom w:w="100.0" w:type="dxa"/>
              <w:right w:w="80.0" w:type="dxa"/>
            </w:tcMar>
            <w:vAlign w:val="top"/>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r>
      <w:tr>
        <w:tc>
          <w:tcPr>
            <w:shd w:fill="auto" w:val="clear"/>
            <w:tcMar>
              <w:top w:w="100.0" w:type="dxa"/>
              <w:left w:w="80.0" w:type="dxa"/>
              <w:bottom w:w="100.0" w:type="dxa"/>
              <w:right w:w="80.0" w:type="dxa"/>
            </w:tcMar>
            <w:vAlign w:val="top"/>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761. Ingresos de valores representativos de deuda</w:t>
            </w:r>
          </w:p>
        </w:tc>
        <w:tc>
          <w:tcPr>
            <w:shd w:fill="auto" w:val="clear"/>
            <w:tcMar>
              <w:top w:w="100.0" w:type="dxa"/>
              <w:left w:w="80.0" w:type="dxa"/>
              <w:bottom w:w="100.0" w:type="dxa"/>
              <w:right w:w="80.0" w:type="dxa"/>
            </w:tcMar>
            <w:vAlign w:val="top"/>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40.000,00 €</w:t>
            </w:r>
          </w:p>
        </w:tc>
      </w:tr>
    </w:tbl>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31.12.20x4. Por el devengo de los intereses implícitos:</w:t>
      </w:r>
    </w:p>
    <w:tbl>
      <w:tblPr>
        <w:tblStyle w:val="Table12"/>
        <w:tblW w:w="854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5"/>
        <w:gridCol w:w="2750"/>
        <w:gridCol w:w="335"/>
        <w:gridCol w:w="2795"/>
        <w:gridCol w:w="1310"/>
        <w:tblGridChange w:id="0">
          <w:tblGrid>
            <w:gridCol w:w="1355"/>
            <w:gridCol w:w="2750"/>
            <w:gridCol w:w="335"/>
            <w:gridCol w:w="2795"/>
            <w:gridCol w:w="1310"/>
          </w:tblGrid>
        </w:tblGridChange>
      </w:tblGrid>
      <w:tr>
        <w:tc>
          <w:tcPr>
            <w:shd w:fill="auto" w:val="clear"/>
            <w:tcMar>
              <w:top w:w="100.0" w:type="dxa"/>
              <w:left w:w="80.0" w:type="dxa"/>
              <w:bottom w:w="100.0" w:type="dxa"/>
              <w:right w:w="80.0" w:type="dxa"/>
            </w:tcMar>
            <w:vAlign w:val="top"/>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hd w:fill="auto" w:val="clear"/>
              <w:ind w:left="60" w:firstLine="0"/>
              <w:jc w:val="right"/>
              <w:rPr>
                <w:sz w:val="16"/>
                <w:szCs w:val="16"/>
              </w:rPr>
            </w:pPr>
            <w:r w:rsidDel="00000000" w:rsidR="00000000" w:rsidRPr="00000000">
              <w:rPr>
                <w:sz w:val="16"/>
                <w:szCs w:val="16"/>
                <w:rtl w:val="0"/>
              </w:rPr>
              <w:t xml:space="preserve">23.258,52 €</w:t>
            </w:r>
          </w:p>
        </w:tc>
        <w:tc>
          <w:tcPr>
            <w:shd w:fill="auto" w:val="clear"/>
            <w:tcMar>
              <w:top w:w="100.0" w:type="dxa"/>
              <w:left w:w="80.0" w:type="dxa"/>
              <w:bottom w:w="100.0" w:type="dxa"/>
              <w:right w:w="80.0" w:type="dxa"/>
            </w:tcMar>
            <w:vAlign w:val="top"/>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251. Valores representativos de deuda a largo plazo</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25.842,80 $ x 0,9 €/$</w:t>
            </w:r>
          </w:p>
        </w:tc>
        <w:tc>
          <w:tcPr>
            <w:shd w:fill="auto" w:val="clear"/>
            <w:tcMar>
              <w:top w:w="100.0" w:type="dxa"/>
              <w:left w:w="80.0" w:type="dxa"/>
              <w:bottom w:w="100.0" w:type="dxa"/>
              <w:right w:w="80.0" w:type="dxa"/>
            </w:tcMar>
            <w:vAlign w:val="top"/>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r>
      <w:tr>
        <w:tc>
          <w:tcPr>
            <w:shd w:fill="auto" w:val="clear"/>
            <w:tcMar>
              <w:top w:w="100.0" w:type="dxa"/>
              <w:left w:w="80.0" w:type="dxa"/>
              <w:bottom w:w="100.0" w:type="dxa"/>
              <w:right w:w="80.0" w:type="dxa"/>
            </w:tcMar>
            <w:vAlign w:val="top"/>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761. Ingresos de valores representativos de deuda</w:t>
            </w:r>
          </w:p>
        </w:tc>
        <w:tc>
          <w:tcPr>
            <w:shd w:fill="auto" w:val="clear"/>
            <w:tcMar>
              <w:top w:w="100.0" w:type="dxa"/>
              <w:left w:w="80.0" w:type="dxa"/>
              <w:bottom w:w="100.0" w:type="dxa"/>
              <w:right w:w="80.0" w:type="dxa"/>
            </w:tcMar>
            <w:vAlign w:val="top"/>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23.258,52 €</w:t>
            </w:r>
          </w:p>
        </w:tc>
      </w:tr>
    </w:tbl>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31.12.20x4. Por el ajuste a valor razonable y las diferencias de cambio en moneda extranjera:</w:t>
      </w:r>
    </w:p>
    <w:tbl>
      <w:tblPr>
        <w:tblStyle w:val="Table13"/>
        <w:tblW w:w="854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5"/>
        <w:gridCol w:w="2735"/>
        <w:gridCol w:w="335"/>
        <w:gridCol w:w="2795"/>
        <w:gridCol w:w="1325"/>
        <w:tblGridChange w:id="0">
          <w:tblGrid>
            <w:gridCol w:w="1355"/>
            <w:gridCol w:w="2735"/>
            <w:gridCol w:w="335"/>
            <w:gridCol w:w="2795"/>
            <w:gridCol w:w="1325"/>
          </w:tblGrid>
        </w:tblGridChange>
      </w:tblGrid>
      <w:tr>
        <w:tc>
          <w:tcPr>
            <w:shd w:fill="auto" w:val="clear"/>
            <w:tcMar>
              <w:top w:w="100.0" w:type="dxa"/>
              <w:left w:w="80.0" w:type="dxa"/>
              <w:bottom w:w="100.0" w:type="dxa"/>
              <w:right w:w="80.0" w:type="dxa"/>
            </w:tcMar>
            <w:vAlign w:val="top"/>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hd w:fill="auto" w:val="clear"/>
              <w:ind w:left="60" w:firstLine="0"/>
              <w:jc w:val="right"/>
              <w:rPr>
                <w:sz w:val="16"/>
                <w:szCs w:val="16"/>
              </w:rPr>
            </w:pPr>
            <w:r w:rsidDel="00000000" w:rsidR="00000000" w:rsidRPr="00000000">
              <w:rPr>
                <w:sz w:val="16"/>
                <w:szCs w:val="16"/>
                <w:rtl w:val="0"/>
              </w:rPr>
              <w:t xml:space="preserve">329.214,00 €</w:t>
            </w:r>
          </w:p>
        </w:tc>
        <w:tc>
          <w:tcPr>
            <w:shd w:fill="auto" w:val="clear"/>
            <w:tcMar>
              <w:top w:w="100.0" w:type="dxa"/>
              <w:left w:w="80.0" w:type="dxa"/>
              <w:bottom w:w="100.0" w:type="dxa"/>
              <w:right w:w="80.0" w:type="dxa"/>
            </w:tcMar>
            <w:vAlign w:val="top"/>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668. Diferencias negativas de cambio</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rFonts w:ascii="Arial Narrow" w:cs="Arial Narrow" w:eastAsia="Arial Narrow" w:hAnsi="Arial Narrow"/>
                <w:sz w:val="16"/>
                <w:szCs w:val="16"/>
                <w:rtl w:val="0"/>
              </w:rPr>
              <w:t xml:space="preserve">ver tabla</w:t>
            </w:r>
            <w:r w:rsidDel="00000000" w:rsidR="00000000" w:rsidRPr="00000000">
              <w:rPr>
                <w:rtl w:val="0"/>
              </w:rPr>
            </w:r>
          </w:p>
        </w:tc>
        <w:tc>
          <w:tcPr>
            <w:shd w:fill="auto" w:val="clear"/>
            <w:tcMar>
              <w:top w:w="100.0" w:type="dxa"/>
              <w:left w:w="80.0" w:type="dxa"/>
              <w:bottom w:w="100.0" w:type="dxa"/>
              <w:right w:w="80.0" w:type="dxa"/>
            </w:tcMar>
            <w:vAlign w:val="top"/>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r>
      <w:tr>
        <w:tc>
          <w:tcPr>
            <w:shd w:fill="auto" w:val="clear"/>
            <w:tcMar>
              <w:top w:w="100.0" w:type="dxa"/>
              <w:left w:w="80.0" w:type="dxa"/>
              <w:bottom w:w="100.0" w:type="dxa"/>
              <w:right w:w="80.0" w:type="dxa"/>
            </w:tcMar>
            <w:vAlign w:val="top"/>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hd w:fill="auto" w:val="clear"/>
              <w:ind w:left="60" w:firstLine="0"/>
              <w:jc w:val="right"/>
              <w:rPr>
                <w:sz w:val="16"/>
                <w:szCs w:val="16"/>
              </w:rPr>
            </w:pPr>
            <w:r w:rsidDel="00000000" w:rsidR="00000000" w:rsidRPr="00000000">
              <w:rPr>
                <w:sz w:val="16"/>
                <w:szCs w:val="16"/>
                <w:rtl w:val="0"/>
              </w:rPr>
              <w:t xml:space="preserve">74.044,52 €</w:t>
            </w:r>
          </w:p>
        </w:tc>
        <w:tc>
          <w:tcPr>
            <w:shd w:fill="auto" w:val="clear"/>
            <w:tcMar>
              <w:top w:w="100.0" w:type="dxa"/>
              <w:left w:w="80.0" w:type="dxa"/>
              <w:bottom w:w="100.0" w:type="dxa"/>
              <w:right w:w="80.0" w:type="dxa"/>
            </w:tcMar>
            <w:vAlign w:val="top"/>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800. Pérdidas en activos financieros disponibles para la venta</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rFonts w:ascii="Arial Narrow" w:cs="Arial Narrow" w:eastAsia="Arial Narrow" w:hAnsi="Arial Narrow"/>
                <w:sz w:val="16"/>
                <w:szCs w:val="16"/>
                <w:rtl w:val="0"/>
              </w:rPr>
              <w:t xml:space="preserve">diferencia: 403.258,52 € - 329.214,00 €</w:t>
            </w:r>
            <w:r w:rsidDel="00000000" w:rsidR="00000000" w:rsidRPr="00000000">
              <w:rPr>
                <w:rtl w:val="0"/>
              </w:rPr>
            </w:r>
          </w:p>
        </w:tc>
        <w:tc>
          <w:tcPr>
            <w:shd w:fill="auto" w:val="clear"/>
            <w:tcMar>
              <w:top w:w="100.0" w:type="dxa"/>
              <w:left w:w="80.0" w:type="dxa"/>
              <w:bottom w:w="100.0" w:type="dxa"/>
              <w:right w:w="80.0" w:type="dxa"/>
            </w:tcMar>
            <w:vAlign w:val="top"/>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r>
      <w:tr>
        <w:tc>
          <w:tcPr>
            <w:shd w:fill="auto" w:val="clear"/>
            <w:tcMar>
              <w:top w:w="100.0" w:type="dxa"/>
              <w:left w:w="80.0" w:type="dxa"/>
              <w:bottom w:w="100.0" w:type="dxa"/>
              <w:right w:w="80.0" w:type="dxa"/>
            </w:tcMar>
            <w:vAlign w:val="top"/>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251. Valores representativos de deuda a largo plazo</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rFonts w:ascii="Arial Narrow" w:cs="Arial Narrow" w:eastAsia="Arial Narrow" w:hAnsi="Arial Narrow"/>
                <w:sz w:val="16"/>
                <w:szCs w:val="16"/>
                <w:rtl w:val="0"/>
              </w:rPr>
              <w:t xml:space="preserve"> 1.050.000 * 1 - (1.100.000 * 1,3 + 23.258,52 €)</w:t>
            </w:r>
            <w:r w:rsidDel="00000000" w:rsidR="00000000" w:rsidRPr="00000000">
              <w:rPr>
                <w:rtl w:val="0"/>
              </w:rPr>
            </w:r>
          </w:p>
        </w:tc>
        <w:tc>
          <w:tcPr>
            <w:shd w:fill="auto" w:val="clear"/>
            <w:tcMar>
              <w:top w:w="100.0" w:type="dxa"/>
              <w:left w:w="80.0" w:type="dxa"/>
              <w:bottom w:w="100.0" w:type="dxa"/>
              <w:right w:w="80.0" w:type="dxa"/>
            </w:tcMar>
            <w:vAlign w:val="top"/>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403.258,52 €</w:t>
            </w:r>
          </w:p>
        </w:tc>
      </w:tr>
    </w:tbl>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31.12.20x4. Por la venta del bono:</w:t>
      </w:r>
    </w:p>
    <w:tbl>
      <w:tblPr>
        <w:tblStyle w:val="Table14"/>
        <w:tblW w:w="854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5"/>
        <w:gridCol w:w="2735"/>
        <w:gridCol w:w="335"/>
        <w:gridCol w:w="2795"/>
        <w:gridCol w:w="1325"/>
        <w:tblGridChange w:id="0">
          <w:tblGrid>
            <w:gridCol w:w="1355"/>
            <w:gridCol w:w="2735"/>
            <w:gridCol w:w="335"/>
            <w:gridCol w:w="2795"/>
            <w:gridCol w:w="1325"/>
          </w:tblGrid>
        </w:tblGridChange>
      </w:tblGrid>
      <w:tr>
        <w:tc>
          <w:tcPr>
            <w:shd w:fill="auto" w:val="clear"/>
            <w:tcMar>
              <w:top w:w="100.0" w:type="dxa"/>
              <w:left w:w="80.0" w:type="dxa"/>
              <w:bottom w:w="100.0" w:type="dxa"/>
              <w:right w:w="80.0" w:type="dxa"/>
            </w:tcMar>
            <w:vAlign w:val="top"/>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hd w:fill="auto" w:val="clear"/>
              <w:ind w:left="60" w:firstLine="0"/>
              <w:jc w:val="right"/>
              <w:rPr>
                <w:sz w:val="16"/>
                <w:szCs w:val="16"/>
              </w:rPr>
            </w:pPr>
            <w:r w:rsidDel="00000000" w:rsidR="00000000" w:rsidRPr="00000000">
              <w:rPr>
                <w:sz w:val="16"/>
                <w:szCs w:val="16"/>
                <w:rtl w:val="0"/>
              </w:rPr>
              <w:t xml:space="preserve">1.050.000,00 €</w:t>
            </w:r>
          </w:p>
        </w:tc>
        <w:tc>
          <w:tcPr>
            <w:shd w:fill="auto" w:val="clear"/>
            <w:tcMar>
              <w:top w:w="100.0" w:type="dxa"/>
              <w:left w:w="80.0" w:type="dxa"/>
              <w:bottom w:w="100.0" w:type="dxa"/>
              <w:right w:w="80.0" w:type="dxa"/>
            </w:tcMar>
            <w:vAlign w:val="top"/>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572. Bancos e instituciones de crédito c/c vista, euros</w:t>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hd w:fill="auto" w:val="clear"/>
              <w:ind w:left="60" w:firstLine="0"/>
              <w:rPr>
                <w:rFonts w:ascii="Arial Narrow" w:cs="Arial Narrow" w:eastAsia="Arial Narrow" w:hAnsi="Arial Narrow"/>
              </w:rPr>
            </w:pPr>
            <w:r w:rsidDel="00000000" w:rsidR="00000000" w:rsidRPr="00000000">
              <w:rPr>
                <w:rFonts w:ascii="Arial Narrow" w:cs="Arial Narrow" w:eastAsia="Arial Narrow" w:hAnsi="Arial Narrow"/>
                <w:sz w:val="16"/>
                <w:szCs w:val="16"/>
                <w:rtl w:val="0"/>
              </w:rPr>
              <w:t xml:space="preserve">1.050.000 $ * 1 €/$ (tipo contado)</w:t>
            </w:r>
            <w:r w:rsidDel="00000000" w:rsidR="00000000" w:rsidRPr="00000000">
              <w:rPr>
                <w:rtl w:val="0"/>
              </w:rPr>
            </w:r>
          </w:p>
        </w:tc>
        <w:tc>
          <w:tcPr>
            <w:shd w:fill="auto" w:val="clear"/>
            <w:tcMar>
              <w:top w:w="100.0" w:type="dxa"/>
              <w:left w:w="80.0" w:type="dxa"/>
              <w:bottom w:w="100.0" w:type="dxa"/>
              <w:right w:w="80.0" w:type="dxa"/>
            </w:tcMar>
            <w:vAlign w:val="top"/>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r>
      <w:tr>
        <w:tc>
          <w:tcPr>
            <w:shd w:fill="auto" w:val="clear"/>
            <w:tcMar>
              <w:top w:w="100.0" w:type="dxa"/>
              <w:left w:w="80.0" w:type="dxa"/>
              <w:bottom w:w="100.0" w:type="dxa"/>
              <w:right w:w="80.0" w:type="dxa"/>
            </w:tcMar>
            <w:vAlign w:val="top"/>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251. Valores representativos de deuda a largo plazo</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rFonts w:ascii="Arial Narrow" w:cs="Arial Narrow" w:eastAsia="Arial Narrow" w:hAnsi="Arial Narrow"/>
                <w:sz w:val="16"/>
                <w:szCs w:val="16"/>
                <w:rtl w:val="0"/>
              </w:rPr>
              <w:t xml:space="preserve">1.050.000 $ * 1,00 €/$</w:t>
            </w:r>
            <w:r w:rsidDel="00000000" w:rsidR="00000000" w:rsidRPr="00000000">
              <w:rPr>
                <w:rtl w:val="0"/>
              </w:rPr>
            </w:r>
          </w:p>
        </w:tc>
        <w:tc>
          <w:tcPr>
            <w:shd w:fill="auto" w:val="clear"/>
            <w:tcMar>
              <w:top w:w="100.0" w:type="dxa"/>
              <w:left w:w="80.0" w:type="dxa"/>
              <w:bottom w:w="100.0" w:type="dxa"/>
              <w:right w:w="80.0" w:type="dxa"/>
            </w:tcMar>
            <w:vAlign w:val="top"/>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1.050.000,00 €</w:t>
            </w:r>
          </w:p>
        </w:tc>
      </w:tr>
    </w:tbl>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Por la imputación a la cuenta de PyG de los cambios de valor razonable del bono imputados al patrimonio neto:</w:t>
      </w:r>
    </w:p>
    <w:tbl>
      <w:tblPr>
        <w:tblStyle w:val="Table15"/>
        <w:tblW w:w="854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5"/>
        <w:gridCol w:w="2765"/>
        <w:gridCol w:w="335"/>
        <w:gridCol w:w="2765"/>
        <w:gridCol w:w="1325"/>
        <w:tblGridChange w:id="0">
          <w:tblGrid>
            <w:gridCol w:w="1355"/>
            <w:gridCol w:w="2765"/>
            <w:gridCol w:w="335"/>
            <w:gridCol w:w="2765"/>
            <w:gridCol w:w="1325"/>
          </w:tblGrid>
        </w:tblGridChange>
      </w:tblGrid>
      <w:tr>
        <w:tc>
          <w:tcPr>
            <w:shd w:fill="auto" w:val="clear"/>
            <w:tcMar>
              <w:top w:w="100.0" w:type="dxa"/>
              <w:left w:w="80.0" w:type="dxa"/>
              <w:bottom w:w="100.0" w:type="dxa"/>
              <w:right w:w="80.0" w:type="dxa"/>
            </w:tcMar>
            <w:vAlign w:val="top"/>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65.900,52 €</w:t>
            </w:r>
          </w:p>
        </w:tc>
        <w:tc>
          <w:tcPr>
            <w:shd w:fill="auto" w:val="clear"/>
            <w:tcMar>
              <w:top w:w="100.0" w:type="dxa"/>
              <w:left w:w="80.0" w:type="dxa"/>
              <w:bottom w:w="100.0" w:type="dxa"/>
              <w:right w:w="80.0" w:type="dxa"/>
            </w:tcMar>
            <w:vAlign w:val="top"/>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6632. Pérdidas de disponibles para la venta</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hd w:fill="auto" w:val="clear"/>
              <w:ind w:left="60" w:firstLine="0"/>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10.700 € - 2.556 € - </w:t>
            </w:r>
            <w:r w:rsidDel="00000000" w:rsidR="00000000" w:rsidRPr="00000000">
              <w:rPr>
                <w:sz w:val="16"/>
                <w:szCs w:val="16"/>
                <w:rtl w:val="0"/>
              </w:rPr>
              <w:t xml:space="preserve">74.044,52 €</w:t>
            </w:r>
            <w:r w:rsidDel="00000000" w:rsidR="00000000" w:rsidRPr="00000000">
              <w:rPr>
                <w:rtl w:val="0"/>
              </w:rPr>
            </w:r>
          </w:p>
        </w:tc>
        <w:tc>
          <w:tcPr>
            <w:shd w:fill="auto" w:val="clear"/>
            <w:tcMar>
              <w:top w:w="100.0" w:type="dxa"/>
              <w:left w:w="80.0" w:type="dxa"/>
              <w:bottom w:w="100.0" w:type="dxa"/>
              <w:right w:w="80.0" w:type="dxa"/>
            </w:tcMar>
            <w:vAlign w:val="top"/>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r>
      <w:tr>
        <w:tc>
          <w:tcPr>
            <w:shd w:fill="auto" w:val="clear"/>
            <w:tcMar>
              <w:top w:w="100.0" w:type="dxa"/>
              <w:left w:w="80.0" w:type="dxa"/>
              <w:bottom w:w="100.0" w:type="dxa"/>
              <w:right w:w="80.0" w:type="dxa"/>
            </w:tcMar>
            <w:vAlign w:val="top"/>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902. Transferencia de Pérdidas en activos financieros disponibles para la venta</w:t>
            </w:r>
          </w:p>
        </w:tc>
        <w:tc>
          <w:tcPr>
            <w:shd w:fill="auto" w:val="clear"/>
            <w:tcMar>
              <w:top w:w="100.0" w:type="dxa"/>
              <w:left w:w="80.0" w:type="dxa"/>
              <w:bottom w:w="100.0" w:type="dxa"/>
              <w:right w:w="80.0" w:type="dxa"/>
            </w:tcMar>
            <w:vAlign w:val="top"/>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65.900,52 €</w:t>
            </w:r>
          </w:p>
        </w:tc>
      </w:tr>
    </w:tbl>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Por la cancelación de las cuentas del grupo 8 y 9 al final del ejercicio 20x4:</w:t>
      </w:r>
    </w:p>
    <w:tbl>
      <w:tblPr>
        <w:tblStyle w:val="Table16"/>
        <w:tblW w:w="854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5"/>
        <w:gridCol w:w="2735"/>
        <w:gridCol w:w="335"/>
        <w:gridCol w:w="2795"/>
        <w:gridCol w:w="1325"/>
        <w:tblGridChange w:id="0">
          <w:tblGrid>
            <w:gridCol w:w="1355"/>
            <w:gridCol w:w="2735"/>
            <w:gridCol w:w="335"/>
            <w:gridCol w:w="2795"/>
            <w:gridCol w:w="1325"/>
          </w:tblGrid>
        </w:tblGridChange>
      </w:tblGrid>
      <w:tr>
        <w:tc>
          <w:tcPr>
            <w:shd w:fill="auto" w:val="clear"/>
            <w:tcMar>
              <w:top w:w="100.0" w:type="dxa"/>
              <w:left w:w="80.0" w:type="dxa"/>
              <w:bottom w:w="100.0" w:type="dxa"/>
              <w:right w:w="80.0" w:type="dxa"/>
            </w:tcMar>
            <w:vAlign w:val="top"/>
          </w:tcPr>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hd w:fill="auto" w:val="clear"/>
              <w:ind w:left="60" w:firstLine="0"/>
              <w:jc w:val="right"/>
              <w:rPr>
                <w:sz w:val="16"/>
                <w:szCs w:val="16"/>
              </w:rPr>
            </w:pPr>
            <w:r w:rsidDel="00000000" w:rsidR="00000000" w:rsidRPr="00000000">
              <w:rPr>
                <w:sz w:val="16"/>
                <w:szCs w:val="16"/>
                <w:rtl w:val="0"/>
              </w:rPr>
              <w:t xml:space="preserve">65.900,52 €</w:t>
            </w:r>
          </w:p>
        </w:tc>
        <w:tc>
          <w:tcPr>
            <w:shd w:fill="auto" w:val="clear"/>
            <w:tcMar>
              <w:top w:w="100.0" w:type="dxa"/>
              <w:left w:w="80.0" w:type="dxa"/>
              <w:bottom w:w="100.0" w:type="dxa"/>
              <w:right w:w="80.0" w:type="dxa"/>
            </w:tcMar>
            <w:vAlign w:val="top"/>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902. Transferencia de Pérdidas en activos financieros disponibles para la venta</w:t>
            </w:r>
          </w:p>
        </w:tc>
        <w:tc>
          <w:tcPr>
            <w:shd w:fill="auto" w:val="clear"/>
            <w:tcMar>
              <w:top w:w="100.0" w:type="dxa"/>
              <w:left w:w="80.0" w:type="dxa"/>
              <w:bottom w:w="100.0" w:type="dxa"/>
              <w:right w:w="80.0" w:type="dxa"/>
            </w:tcMar>
            <w:vAlign w:val="top"/>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r>
      <w:tr>
        <w:tc>
          <w:tcPr>
            <w:shd w:fill="auto" w:val="clear"/>
            <w:tcMar>
              <w:top w:w="100.0" w:type="dxa"/>
              <w:left w:w="80.0" w:type="dxa"/>
              <w:bottom w:w="100.0" w:type="dxa"/>
              <w:right w:w="80.0" w:type="dxa"/>
            </w:tcMar>
            <w:vAlign w:val="top"/>
          </w:tcPr>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hd w:fill="auto" w:val="clear"/>
              <w:ind w:left="60" w:firstLine="0"/>
              <w:jc w:val="right"/>
              <w:rPr>
                <w:sz w:val="16"/>
                <w:szCs w:val="16"/>
              </w:rPr>
            </w:pPr>
            <w:r w:rsidDel="00000000" w:rsidR="00000000" w:rsidRPr="00000000">
              <w:rPr>
                <w:sz w:val="16"/>
                <w:szCs w:val="16"/>
                <w:rtl w:val="0"/>
              </w:rPr>
              <w:t xml:space="preserve">8.144,00 €</w:t>
            </w:r>
          </w:p>
        </w:tc>
        <w:tc>
          <w:tcPr>
            <w:shd w:fill="auto" w:val="clear"/>
            <w:tcMar>
              <w:top w:w="100.0" w:type="dxa"/>
              <w:left w:w="80.0" w:type="dxa"/>
              <w:bottom w:w="100.0" w:type="dxa"/>
              <w:right w:w="80.0" w:type="dxa"/>
            </w:tcMar>
            <w:vAlign w:val="top"/>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133. Ajustes por valoración en activos financieros disponibles para la venta</w:t>
            </w:r>
          </w:p>
        </w:tc>
        <w:tc>
          <w:tcPr>
            <w:shd w:fill="auto" w:val="clear"/>
            <w:tcMar>
              <w:top w:w="100.0" w:type="dxa"/>
              <w:left w:w="80.0" w:type="dxa"/>
              <w:bottom w:w="100.0" w:type="dxa"/>
              <w:right w:w="80.0" w:type="dxa"/>
            </w:tcMar>
            <w:vAlign w:val="top"/>
          </w:tcPr>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rtl w:val="0"/>
              </w:rPr>
            </w:r>
          </w:p>
        </w:tc>
        <w:tc>
          <w:tcPr>
            <w:shd w:fill="auto" w:val="clear"/>
            <w:tcMar>
              <w:top w:w="100.0" w:type="dxa"/>
              <w:left w:w="80.0" w:type="dxa"/>
              <w:bottom w:w="100.0" w:type="dxa"/>
              <w:right w:w="80.0" w:type="dxa"/>
            </w:tcMar>
            <w:vAlign w:val="top"/>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tc>
      </w:tr>
      <w:tr>
        <w:tc>
          <w:tcPr>
            <w:shd w:fill="auto" w:val="clear"/>
            <w:tcMar>
              <w:top w:w="100.0" w:type="dxa"/>
              <w:left w:w="80.0" w:type="dxa"/>
              <w:bottom w:w="100.0" w:type="dxa"/>
              <w:right w:w="80.0" w:type="dxa"/>
            </w:tcMar>
            <w:vAlign w:val="top"/>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 </w:t>
            </w:r>
          </w:p>
        </w:tc>
        <w:tc>
          <w:tcPr>
            <w:shd w:fill="auto" w:val="clear"/>
            <w:tcMar>
              <w:top w:w="100.0" w:type="dxa"/>
              <w:left w:w="80.0" w:type="dxa"/>
              <w:bottom w:w="100.0" w:type="dxa"/>
              <w:right w:w="80.0" w:type="dxa"/>
            </w:tcMar>
            <w:vAlign w:val="top"/>
          </w:tcPr>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hd w:fill="auto" w:val="clear"/>
              <w:ind w:left="60" w:firstLine="0"/>
              <w:jc w:val="center"/>
              <w:rPr>
                <w:sz w:val="16"/>
                <w:szCs w:val="16"/>
              </w:rPr>
            </w:pPr>
            <w:r w:rsidDel="00000000" w:rsidR="00000000" w:rsidRPr="00000000">
              <w:rPr>
                <w:sz w:val="16"/>
                <w:szCs w:val="16"/>
                <w:rtl w:val="0"/>
              </w:rPr>
              <w:t xml:space="preserve">a</w:t>
            </w:r>
          </w:p>
        </w:tc>
        <w:tc>
          <w:tcPr>
            <w:shd w:fill="auto" w:val="clear"/>
            <w:tcMar>
              <w:top w:w="100.0" w:type="dxa"/>
              <w:left w:w="80.0" w:type="dxa"/>
              <w:bottom w:w="100.0" w:type="dxa"/>
              <w:right w:w="80.0" w:type="dxa"/>
            </w:tcMar>
            <w:vAlign w:val="top"/>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800. Pérdidas en activos financieros disponibles para la venta</w:t>
            </w:r>
          </w:p>
        </w:tc>
        <w:tc>
          <w:tcPr>
            <w:shd w:fill="auto" w:val="clear"/>
            <w:tcMar>
              <w:top w:w="100.0" w:type="dxa"/>
              <w:left w:w="80.0" w:type="dxa"/>
              <w:bottom w:w="100.0" w:type="dxa"/>
              <w:right w:w="80.0" w:type="dxa"/>
            </w:tcMar>
            <w:vAlign w:val="top"/>
          </w:tcPr>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hd w:fill="auto" w:val="clear"/>
              <w:ind w:left="60" w:firstLine="0"/>
              <w:rPr>
                <w:sz w:val="16"/>
                <w:szCs w:val="16"/>
              </w:rPr>
            </w:pPr>
            <w:r w:rsidDel="00000000" w:rsidR="00000000" w:rsidRPr="00000000">
              <w:rPr>
                <w:sz w:val="16"/>
                <w:szCs w:val="16"/>
                <w:rtl w:val="0"/>
              </w:rPr>
              <w:t xml:space="preserve">74.044,52 €</w:t>
            </w:r>
          </w:p>
        </w:tc>
      </w:tr>
    </w:tbl>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TABLA CON LOS CÁLCULOS:</w:t>
      </w:r>
    </w:p>
    <w:tbl>
      <w:tblPr>
        <w:tblStyle w:val="Table17"/>
        <w:tblW w:w="9360.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0"/>
        <w:gridCol w:w="1000"/>
        <w:gridCol w:w="960"/>
        <w:gridCol w:w="900"/>
        <w:gridCol w:w="1160"/>
        <w:gridCol w:w="1100"/>
        <w:gridCol w:w="1160"/>
        <w:gridCol w:w="760"/>
        <w:gridCol w:w="1400"/>
        <w:tblGridChange w:id="0">
          <w:tblGrid>
            <w:gridCol w:w="920"/>
            <w:gridCol w:w="1000"/>
            <w:gridCol w:w="960"/>
            <w:gridCol w:w="900"/>
            <w:gridCol w:w="1160"/>
            <w:gridCol w:w="1100"/>
            <w:gridCol w:w="1160"/>
            <w:gridCol w:w="760"/>
            <w:gridCol w:w="1400"/>
          </w:tblGrid>
        </w:tblGridChange>
      </w:tblGrid>
      <w:tr>
        <w:tc>
          <w:tcPr>
            <w:shd w:fill="auto" w:val="clear"/>
            <w:tcMar>
              <w:top w:w="100.0" w:type="dxa"/>
              <w:left w:w="80.0" w:type="dxa"/>
              <w:bottom w:w="100.0" w:type="dxa"/>
              <w:right w:w="80.0" w:type="dxa"/>
            </w:tcMar>
            <w:vAlign w:val="bottom"/>
          </w:tcPr>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Narrow" w:cs="Arial Narrow" w:eastAsia="Arial Narrow" w:hAnsi="Arial Narrow"/>
                <w:sz w:val="16"/>
                <w:szCs w:val="16"/>
                <w:rtl w:val="0"/>
              </w:rPr>
              <w:t xml:space="preserve">Intereses devengados</w:t>
            </w:r>
            <w:r w:rsidDel="00000000" w:rsidR="00000000" w:rsidRPr="00000000">
              <w:rPr>
                <w:rtl w:val="0"/>
              </w:rPr>
            </w:r>
          </w:p>
        </w:tc>
        <w:tc>
          <w:tcPr>
            <w:shd w:fill="auto" w:val="clear"/>
            <w:tcMar>
              <w:top w:w="100.0" w:type="dxa"/>
              <w:left w:w="80.0" w:type="dxa"/>
              <w:bottom w:w="100.0" w:type="dxa"/>
              <w:right w:w="80.0" w:type="dxa"/>
            </w:tcMar>
            <w:vAlign w:val="top"/>
          </w:tcPr>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intereses explícitos (cupón)</w:t>
            </w:r>
          </w:p>
        </w:tc>
        <w:tc>
          <w:tcPr>
            <w:shd w:fill="auto" w:val="clear"/>
            <w:tcMar>
              <w:top w:w="100.0" w:type="dxa"/>
              <w:left w:w="80.0" w:type="dxa"/>
              <w:bottom w:w="100.0" w:type="dxa"/>
              <w:right w:w="80.0" w:type="dxa"/>
            </w:tcMar>
            <w:vAlign w:val="top"/>
          </w:tcPr>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intereses implícitos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Narrow" w:cs="Arial Narrow" w:eastAsia="Arial Narrow" w:hAnsi="Arial Narrow"/>
                <w:sz w:val="16"/>
                <w:szCs w:val="16"/>
                <w:rtl w:val="0"/>
              </w:rPr>
              <w:t xml:space="preserve">Pagos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Narrow" w:cs="Arial Narrow" w:eastAsia="Arial Narrow" w:hAnsi="Arial Narrow"/>
                <w:sz w:val="16"/>
                <w:szCs w:val="16"/>
                <w:rtl w:val="0"/>
              </w:rPr>
              <w:t xml:space="preserve">Valor razonable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Narrow" w:cs="Arial Narrow" w:eastAsia="Arial Narrow" w:hAnsi="Arial Narrow"/>
                <w:sz w:val="16"/>
                <w:szCs w:val="16"/>
                <w:rtl w:val="0"/>
              </w:rPr>
              <w:t xml:space="preserve">Coste amortizado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Narrow" w:cs="Arial Narrow" w:eastAsia="Arial Narrow" w:hAnsi="Arial Narrow"/>
                <w:sz w:val="16"/>
                <w:szCs w:val="16"/>
                <w:rtl w:val="0"/>
              </w:rPr>
              <w:t xml:space="preserve">Tipo de cambio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Narrow" w:cs="Arial Narrow" w:eastAsia="Arial Narrow" w:hAnsi="Arial Narrow"/>
                <w:sz w:val="16"/>
                <w:szCs w:val="16"/>
                <w:rtl w:val="0"/>
              </w:rPr>
              <w:t xml:space="preserve">Diferencias de cambio</w:t>
            </w:r>
            <w:r w:rsidDel="00000000" w:rsidR="00000000" w:rsidRPr="00000000">
              <w:rPr>
                <w:rtl w:val="0"/>
              </w:rPr>
            </w:r>
          </w:p>
        </w:tc>
      </w:tr>
      <w:tr>
        <w:tc>
          <w:tcPr>
            <w:shd w:fill="auto" w:val="clear"/>
            <w:tcMar>
              <w:top w:w="100.0" w:type="dxa"/>
              <w:left w:w="80.0" w:type="dxa"/>
              <w:bottom w:w="100.0" w:type="dxa"/>
              <w:right w:w="80.0" w:type="dxa"/>
            </w:tcMar>
            <w:vAlign w:val="bottom"/>
          </w:tcPr>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31.12.20x1</w:t>
            </w:r>
          </w:p>
        </w:tc>
        <w:tc>
          <w:tcPr>
            <w:shd w:fill="auto" w:val="clear"/>
            <w:tcMar>
              <w:top w:w="100.0" w:type="dxa"/>
              <w:left w:w="80.0" w:type="dxa"/>
              <w:bottom w:w="100.0" w:type="dxa"/>
              <w:right w:w="80.0" w:type="dxa"/>
            </w:tcMar>
            <w:vAlign w:val="bottom"/>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shd w:fill="auto" w:val="clear"/>
            <w:tcMar>
              <w:top w:w="100.0" w:type="dxa"/>
              <w:left w:w="80.0" w:type="dxa"/>
              <w:bottom w:w="100.0" w:type="dxa"/>
              <w:right w:w="80.0" w:type="dxa"/>
            </w:tcMar>
            <w:vAlign w:val="bottom"/>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shd w:fill="auto" w:val="clear"/>
            <w:tcMar>
              <w:top w:w="100.0" w:type="dxa"/>
              <w:left w:w="80.0" w:type="dxa"/>
              <w:bottom w:w="100.0" w:type="dxa"/>
              <w:right w:w="80.0" w:type="dxa"/>
            </w:tcMar>
            <w:vAlign w:val="bottom"/>
          </w:tcPr>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shd w:fill="auto" w:val="clear"/>
            <w:tcMar>
              <w:top w:w="100.0" w:type="dxa"/>
              <w:left w:w="80.0" w:type="dxa"/>
              <w:bottom w:w="100.0" w:type="dxa"/>
              <w:right w:w="80.0" w:type="dxa"/>
            </w:tcMar>
            <w:vAlign w:val="bottom"/>
          </w:tcPr>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-$ 1.050.000,00</w:t>
            </w:r>
          </w:p>
        </w:tc>
        <w:tc>
          <w:tcPr>
            <w:shd w:fill="auto" w:val="clear"/>
            <w:tcMar>
              <w:top w:w="100.0" w:type="dxa"/>
              <w:left w:w="80.0" w:type="dxa"/>
              <w:bottom w:w="100.0" w:type="dxa"/>
              <w:right w:w="80.0" w:type="dxa"/>
            </w:tcMar>
            <w:vAlign w:val="bottom"/>
          </w:tcPr>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shd w:fill="auto" w:val="clear"/>
            <w:tcMar>
              <w:top w:w="100.0" w:type="dxa"/>
              <w:left w:w="80.0" w:type="dxa"/>
              <w:bottom w:w="100.0" w:type="dxa"/>
              <w:right w:w="80.0" w:type="dxa"/>
            </w:tcMar>
            <w:vAlign w:val="bottom"/>
          </w:tcPr>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$ 1.050.000,00</w:t>
            </w:r>
          </w:p>
        </w:tc>
        <w:tc>
          <w:tcPr>
            <w:shd w:fill="auto" w:val="clear"/>
            <w:tcMar>
              <w:top w:w="100.0" w:type="dxa"/>
              <w:left w:w="80.0" w:type="dxa"/>
              <w:bottom w:w="100.0" w:type="dxa"/>
              <w:right w:w="80.0" w:type="dxa"/>
            </w:tcMar>
            <w:vAlign w:val="bottom"/>
          </w:tcPr>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1,0 €/$</w:t>
            </w:r>
          </w:p>
        </w:tc>
        <w:tc>
          <w:tcPr>
            <w:shd w:fill="auto" w:val="clear"/>
            <w:tcMar>
              <w:top w:w="100.0" w:type="dxa"/>
              <w:left w:w="80.0" w:type="dxa"/>
              <w:bottom w:w="100.0" w:type="dxa"/>
              <w:right w:w="80.0" w:type="dxa"/>
            </w:tcMar>
            <w:vAlign w:val="bottom"/>
          </w:tcPr>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tl w:val="0"/>
              </w:rPr>
            </w:r>
          </w:p>
        </w:tc>
      </w:tr>
      <w:tr>
        <w:tc>
          <w:tcPr>
            <w:shd w:fill="auto" w:val="clear"/>
            <w:tcMar>
              <w:top w:w="100.0" w:type="dxa"/>
              <w:left w:w="80.0" w:type="dxa"/>
              <w:bottom w:w="100.0" w:type="dxa"/>
              <w:right w:w="80.0" w:type="dxa"/>
            </w:tcMar>
            <w:vAlign w:val="bottom"/>
          </w:tcPr>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31.12.20x2</w:t>
            </w:r>
          </w:p>
        </w:tc>
        <w:tc>
          <w:tcPr>
            <w:shd w:fill="auto" w:val="clear"/>
            <w:tcMar>
              <w:top w:w="100.0" w:type="dxa"/>
              <w:left w:w="80.0" w:type="dxa"/>
              <w:bottom w:w="100.0" w:type="dxa"/>
              <w:right w:w="80.0" w:type="dxa"/>
            </w:tcMar>
            <w:vAlign w:val="bottom"/>
          </w:tcPr>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$ 63.000,00</w:t>
            </w:r>
          </w:p>
        </w:tc>
        <w:tc>
          <w:tcPr>
            <w:shd w:fill="auto" w:val="clear"/>
            <w:tcMar>
              <w:top w:w="100.0" w:type="dxa"/>
              <w:left w:w="80.0" w:type="dxa"/>
              <w:bottom w:w="100.0" w:type="dxa"/>
              <w:right w:w="80.0" w:type="dxa"/>
            </w:tcMar>
            <w:vAlign w:val="bottom"/>
          </w:tcPr>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$ 40.000,00</w:t>
            </w:r>
          </w:p>
        </w:tc>
        <w:tc>
          <w:tcPr>
            <w:shd w:fill="auto" w:val="clear"/>
            <w:tcMar>
              <w:top w:w="100.0" w:type="dxa"/>
              <w:left w:w="80.0" w:type="dxa"/>
              <w:bottom w:w="100.0" w:type="dxa"/>
              <w:right w:w="80.0" w:type="dxa"/>
            </w:tcMar>
            <w:vAlign w:val="bottom"/>
          </w:tcPr>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$ 23.000,00</w:t>
            </w:r>
          </w:p>
        </w:tc>
        <w:tc>
          <w:tcPr>
            <w:shd w:fill="auto" w:val="clear"/>
            <w:tcMar>
              <w:top w:w="100.0" w:type="dxa"/>
              <w:left w:w="80.0" w:type="dxa"/>
              <w:bottom w:w="100.0" w:type="dxa"/>
              <w:right w:w="80.0" w:type="dxa"/>
            </w:tcMar>
            <w:vAlign w:val="bottom"/>
          </w:tcPr>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$ 40.000,00</w:t>
            </w:r>
          </w:p>
        </w:tc>
        <w:tc>
          <w:tcPr>
            <w:shd w:fill="auto" w:val="clear"/>
            <w:tcMar>
              <w:top w:w="100.0" w:type="dxa"/>
              <w:left w:w="80.0" w:type="dxa"/>
              <w:bottom w:w="100.0" w:type="dxa"/>
              <w:right w:w="80.0" w:type="dxa"/>
            </w:tcMar>
            <w:vAlign w:val="bottom"/>
          </w:tcPr>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$ 1.080.000,00</w:t>
            </w:r>
          </w:p>
        </w:tc>
        <w:tc>
          <w:tcPr>
            <w:shd w:fill="auto" w:val="clear"/>
            <w:tcMar>
              <w:top w:w="100.0" w:type="dxa"/>
              <w:left w:w="80.0" w:type="dxa"/>
              <w:bottom w:w="100.0" w:type="dxa"/>
              <w:right w:w="80.0" w:type="dxa"/>
            </w:tcMar>
            <w:vAlign w:val="bottom"/>
          </w:tcPr>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$ 1.073.000,00</w:t>
            </w:r>
          </w:p>
        </w:tc>
        <w:tc>
          <w:tcPr>
            <w:shd w:fill="auto" w:val="clear"/>
            <w:tcMar>
              <w:top w:w="100.0" w:type="dxa"/>
              <w:left w:w="80.0" w:type="dxa"/>
              <w:bottom w:w="100.0" w:type="dxa"/>
              <w:right w:w="80.0" w:type="dxa"/>
            </w:tcMar>
            <w:vAlign w:val="bottom"/>
          </w:tcPr>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1,2 €/$</w:t>
            </w:r>
          </w:p>
        </w:tc>
        <w:tc>
          <w:tcPr>
            <w:shd w:fill="auto" w:val="clear"/>
            <w:tcMar>
              <w:top w:w="100.0" w:type="dxa"/>
              <w:left w:w="80.0" w:type="dxa"/>
              <w:bottom w:w="100.0" w:type="dxa"/>
              <w:right w:w="80.0" w:type="dxa"/>
            </w:tcMar>
            <w:vAlign w:val="bottom"/>
          </w:tcPr>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tab/>
              <w:t xml:space="preserve">210.000,00 €</w:t>
            </w:r>
          </w:p>
        </w:tc>
      </w:tr>
      <w:tr>
        <w:tc>
          <w:tcPr>
            <w:shd w:fill="auto" w:val="clear"/>
            <w:tcMar>
              <w:top w:w="100.0" w:type="dxa"/>
              <w:left w:w="80.0" w:type="dxa"/>
              <w:bottom w:w="100.0" w:type="dxa"/>
              <w:right w:w="80.0" w:type="dxa"/>
            </w:tcMar>
            <w:vAlign w:val="bottom"/>
          </w:tcPr>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31.12.20x3</w:t>
            </w:r>
          </w:p>
        </w:tc>
        <w:tc>
          <w:tcPr>
            <w:shd w:fill="auto" w:val="clear"/>
            <w:tcMar>
              <w:top w:w="100.0" w:type="dxa"/>
              <w:left w:w="80.0" w:type="dxa"/>
              <w:bottom w:w="100.0" w:type="dxa"/>
              <w:right w:w="80.0" w:type="dxa"/>
            </w:tcMar>
            <w:vAlign w:val="bottom"/>
          </w:tcPr>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$ 64.380,00</w:t>
            </w:r>
          </w:p>
        </w:tc>
        <w:tc>
          <w:tcPr>
            <w:shd w:fill="auto" w:val="clear"/>
            <w:tcMar>
              <w:top w:w="100.0" w:type="dxa"/>
              <w:left w:w="80.0" w:type="dxa"/>
              <w:bottom w:w="100.0" w:type="dxa"/>
              <w:right w:w="80.0" w:type="dxa"/>
            </w:tcMar>
            <w:vAlign w:val="bottom"/>
          </w:tcPr>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$ 40.000,00</w:t>
            </w:r>
          </w:p>
        </w:tc>
        <w:tc>
          <w:tcPr>
            <w:shd w:fill="auto" w:val="clear"/>
            <w:tcMar>
              <w:top w:w="100.0" w:type="dxa"/>
              <w:left w:w="80.0" w:type="dxa"/>
              <w:bottom w:w="100.0" w:type="dxa"/>
              <w:right w:w="80.0" w:type="dxa"/>
            </w:tcMar>
            <w:vAlign w:val="bottom"/>
          </w:tcPr>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$ 24.380,00</w:t>
            </w:r>
          </w:p>
        </w:tc>
        <w:tc>
          <w:tcPr>
            <w:shd w:fill="auto" w:val="clear"/>
            <w:tcMar>
              <w:top w:w="100.0" w:type="dxa"/>
              <w:left w:w="80.0" w:type="dxa"/>
              <w:bottom w:w="100.0" w:type="dxa"/>
              <w:right w:w="80.0" w:type="dxa"/>
            </w:tcMar>
            <w:vAlign w:val="bottom"/>
          </w:tcPr>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$ 40.000,00</w:t>
            </w:r>
          </w:p>
        </w:tc>
        <w:tc>
          <w:tcPr>
            <w:shd w:fill="auto" w:val="clear"/>
            <w:tcMar>
              <w:top w:w="100.0" w:type="dxa"/>
              <w:left w:w="80.0" w:type="dxa"/>
              <w:bottom w:w="100.0" w:type="dxa"/>
              <w:right w:w="80.0" w:type="dxa"/>
            </w:tcMar>
            <w:vAlign w:val="bottom"/>
          </w:tcPr>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$ 1.100.000,00</w:t>
            </w:r>
          </w:p>
        </w:tc>
        <w:tc>
          <w:tcPr>
            <w:shd w:fill="auto" w:val="clear"/>
            <w:tcMar>
              <w:top w:w="100.0" w:type="dxa"/>
              <w:left w:w="80.0" w:type="dxa"/>
              <w:bottom w:w="100.0" w:type="dxa"/>
              <w:right w:w="80.0" w:type="dxa"/>
            </w:tcMar>
            <w:vAlign w:val="bottom"/>
          </w:tcPr>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$ 1.097.380,00</w:t>
            </w:r>
          </w:p>
        </w:tc>
        <w:tc>
          <w:tcPr>
            <w:shd w:fill="auto" w:val="clear"/>
            <w:tcMar>
              <w:top w:w="100.0" w:type="dxa"/>
              <w:left w:w="80.0" w:type="dxa"/>
              <w:bottom w:w="100.0" w:type="dxa"/>
              <w:right w:w="80.0" w:type="dxa"/>
            </w:tcMar>
            <w:vAlign w:val="bottom"/>
          </w:tcPr>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1,3 €/$</w:t>
            </w:r>
          </w:p>
        </w:tc>
        <w:tc>
          <w:tcPr>
            <w:shd w:fill="auto" w:val="clear"/>
            <w:tcMar>
              <w:top w:w="100.0" w:type="dxa"/>
              <w:left w:w="80.0" w:type="dxa"/>
              <w:bottom w:w="100.0" w:type="dxa"/>
              <w:right w:w="80.0" w:type="dxa"/>
            </w:tcMar>
            <w:vAlign w:val="bottom"/>
          </w:tcPr>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tab/>
              <w:t xml:space="preserve">107.300,00 €</w:t>
            </w:r>
          </w:p>
        </w:tc>
      </w:tr>
      <w:tr>
        <w:tc>
          <w:tcPr>
            <w:shd w:fill="auto" w:val="clear"/>
            <w:tcMar>
              <w:top w:w="100.0" w:type="dxa"/>
              <w:left w:w="80.0" w:type="dxa"/>
              <w:bottom w:w="100.0" w:type="dxa"/>
              <w:right w:w="80.0" w:type="dxa"/>
            </w:tcMar>
            <w:vAlign w:val="bottom"/>
          </w:tcPr>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31.12.20x4</w:t>
            </w:r>
          </w:p>
        </w:tc>
        <w:tc>
          <w:tcPr>
            <w:shd w:fill="auto" w:val="clear"/>
            <w:tcMar>
              <w:top w:w="100.0" w:type="dxa"/>
              <w:left w:w="80.0" w:type="dxa"/>
              <w:bottom w:w="100.0" w:type="dxa"/>
              <w:right w:w="80.0" w:type="dxa"/>
            </w:tcMar>
            <w:vAlign w:val="bottom"/>
          </w:tcPr>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$ 65.842,80</w:t>
            </w:r>
          </w:p>
        </w:tc>
        <w:tc>
          <w:tcPr>
            <w:shd w:fill="auto" w:val="clear"/>
            <w:tcMar>
              <w:top w:w="100.0" w:type="dxa"/>
              <w:left w:w="80.0" w:type="dxa"/>
              <w:bottom w:w="100.0" w:type="dxa"/>
              <w:right w:w="80.0" w:type="dxa"/>
            </w:tcMar>
            <w:vAlign w:val="bottom"/>
          </w:tcPr>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$ 40.000,00</w:t>
            </w:r>
          </w:p>
        </w:tc>
        <w:tc>
          <w:tcPr>
            <w:shd w:fill="auto" w:val="clear"/>
            <w:tcMar>
              <w:top w:w="100.0" w:type="dxa"/>
              <w:left w:w="80.0" w:type="dxa"/>
              <w:bottom w:w="100.0" w:type="dxa"/>
              <w:right w:w="80.0" w:type="dxa"/>
            </w:tcMar>
            <w:vAlign w:val="bottom"/>
          </w:tcPr>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$ 25.842,80</w:t>
            </w:r>
          </w:p>
        </w:tc>
        <w:tc>
          <w:tcPr>
            <w:shd w:fill="auto" w:val="clear"/>
            <w:tcMar>
              <w:top w:w="100.0" w:type="dxa"/>
              <w:left w:w="80.0" w:type="dxa"/>
              <w:bottom w:w="100.0" w:type="dxa"/>
              <w:right w:w="80.0" w:type="dxa"/>
            </w:tcMar>
            <w:vAlign w:val="bottom"/>
          </w:tcPr>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$ 40.000,00</w:t>
            </w:r>
          </w:p>
        </w:tc>
        <w:tc>
          <w:tcPr>
            <w:shd w:fill="auto" w:val="clear"/>
            <w:tcMar>
              <w:top w:w="100.0" w:type="dxa"/>
              <w:left w:w="80.0" w:type="dxa"/>
              <w:bottom w:w="100.0" w:type="dxa"/>
              <w:right w:w="80.0" w:type="dxa"/>
            </w:tcMar>
            <w:vAlign w:val="bottom"/>
          </w:tcPr>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$ 1.050.000,00</w:t>
            </w:r>
          </w:p>
        </w:tc>
        <w:tc>
          <w:tcPr>
            <w:shd w:fill="auto" w:val="clear"/>
            <w:tcMar>
              <w:top w:w="100.0" w:type="dxa"/>
              <w:left w:w="80.0" w:type="dxa"/>
              <w:bottom w:w="100.0" w:type="dxa"/>
              <w:right w:w="80.0" w:type="dxa"/>
            </w:tcMar>
            <w:vAlign w:val="bottom"/>
          </w:tcPr>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$ 1.123.222,80</w:t>
            </w:r>
          </w:p>
        </w:tc>
        <w:tc>
          <w:tcPr>
            <w:shd w:fill="auto" w:val="clear"/>
            <w:tcMar>
              <w:top w:w="100.0" w:type="dxa"/>
              <w:left w:w="80.0" w:type="dxa"/>
              <w:bottom w:w="100.0" w:type="dxa"/>
              <w:right w:w="80.0" w:type="dxa"/>
            </w:tcMar>
            <w:vAlign w:val="bottom"/>
          </w:tcPr>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1,0 €/$</w:t>
            </w:r>
          </w:p>
        </w:tc>
        <w:tc>
          <w:tcPr>
            <w:shd w:fill="auto" w:val="clear"/>
            <w:tcMar>
              <w:top w:w="100.0" w:type="dxa"/>
              <w:left w:w="80.0" w:type="dxa"/>
              <w:bottom w:w="100.0" w:type="dxa"/>
              <w:right w:w="80.0" w:type="dxa"/>
            </w:tcMar>
            <w:vAlign w:val="bottom"/>
          </w:tcPr>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tab/>
              <w:t xml:space="preserve">329.214,00 €</w:t>
            </w:r>
          </w:p>
        </w:tc>
      </w:tr>
      <w:tr>
        <w:tc>
          <w:tcPr>
            <w:shd w:fill="auto" w:val="clear"/>
            <w:tcMar>
              <w:top w:w="100.0" w:type="dxa"/>
              <w:left w:w="80.0" w:type="dxa"/>
              <w:bottom w:w="100.0" w:type="dxa"/>
              <w:right w:w="80.0" w:type="dxa"/>
            </w:tcMar>
            <w:vAlign w:val="bottom"/>
          </w:tcPr>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31.12.20x5</w:t>
            </w:r>
          </w:p>
        </w:tc>
        <w:tc>
          <w:tcPr>
            <w:shd w:fill="auto" w:val="clear"/>
            <w:tcMar>
              <w:top w:w="100.0" w:type="dxa"/>
              <w:left w:w="80.0" w:type="dxa"/>
              <w:bottom w:w="100.0" w:type="dxa"/>
              <w:right w:w="80.0" w:type="dxa"/>
            </w:tcMar>
            <w:vAlign w:val="bottom"/>
          </w:tcPr>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$ 67.393,37</w:t>
            </w:r>
          </w:p>
        </w:tc>
        <w:tc>
          <w:tcPr>
            <w:shd w:fill="auto" w:val="clear"/>
            <w:tcMar>
              <w:top w:w="100.0" w:type="dxa"/>
              <w:left w:w="80.0" w:type="dxa"/>
              <w:bottom w:w="100.0" w:type="dxa"/>
              <w:right w:w="80.0" w:type="dxa"/>
            </w:tcMar>
            <w:vAlign w:val="bottom"/>
          </w:tcPr>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$ 40.000,00</w:t>
            </w:r>
          </w:p>
        </w:tc>
        <w:tc>
          <w:tcPr>
            <w:shd w:fill="auto" w:val="clear"/>
            <w:tcMar>
              <w:top w:w="100.0" w:type="dxa"/>
              <w:left w:w="80.0" w:type="dxa"/>
              <w:bottom w:w="100.0" w:type="dxa"/>
              <w:right w:w="80.0" w:type="dxa"/>
            </w:tcMar>
            <w:vAlign w:val="bottom"/>
          </w:tcPr>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$ 27.393,37</w:t>
            </w:r>
          </w:p>
        </w:tc>
        <w:tc>
          <w:tcPr>
            <w:shd w:fill="auto" w:val="clear"/>
            <w:tcMar>
              <w:top w:w="100.0" w:type="dxa"/>
              <w:left w:w="80.0" w:type="dxa"/>
              <w:bottom w:w="100.0" w:type="dxa"/>
              <w:right w:w="80.0" w:type="dxa"/>
            </w:tcMar>
            <w:vAlign w:val="bottom"/>
          </w:tcPr>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$ 1.190.616,17</w:t>
            </w:r>
          </w:p>
        </w:tc>
        <w:tc>
          <w:tcPr>
            <w:shd w:fill="auto" w:val="clear"/>
            <w:tcMar>
              <w:top w:w="100.0" w:type="dxa"/>
              <w:left w:w="80.0" w:type="dxa"/>
              <w:bottom w:w="100.0" w:type="dxa"/>
              <w:right w:w="80.0" w:type="dxa"/>
            </w:tcMar>
            <w:vAlign w:val="bottom"/>
          </w:tcPr>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$ 1.000.000,00</w:t>
            </w:r>
          </w:p>
        </w:tc>
        <w:tc>
          <w:tcPr>
            <w:shd w:fill="auto" w:val="clear"/>
            <w:tcMar>
              <w:top w:w="100.0" w:type="dxa"/>
              <w:left w:w="80.0" w:type="dxa"/>
              <w:bottom w:w="100.0" w:type="dxa"/>
              <w:right w:w="80.0" w:type="dxa"/>
            </w:tcMar>
            <w:vAlign w:val="bottom"/>
          </w:tcPr>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$ 1.150.616,17</w:t>
            </w:r>
          </w:p>
        </w:tc>
        <w:tc>
          <w:tcPr>
            <w:shd w:fill="auto" w:val="clear"/>
            <w:tcMar>
              <w:top w:w="100.0" w:type="dxa"/>
              <w:left w:w="80.0" w:type="dxa"/>
              <w:bottom w:w="100.0" w:type="dxa"/>
              <w:right w:w="80.0" w:type="dxa"/>
            </w:tcMar>
            <w:vAlign w:val="bottom"/>
          </w:tcPr>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1,1 €/$</w:t>
            </w:r>
          </w:p>
        </w:tc>
        <w:tc>
          <w:tcPr>
            <w:shd w:fill="auto" w:val="clear"/>
            <w:tcMar>
              <w:top w:w="100.0" w:type="dxa"/>
              <w:left w:w="80.0" w:type="dxa"/>
              <w:bottom w:w="100.0" w:type="dxa"/>
              <w:right w:w="80.0" w:type="dxa"/>
            </w:tcMar>
            <w:vAlign w:val="bottom"/>
          </w:tcPr>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tab/>
              <w:t xml:space="preserve">112.322,28 €</w:t>
            </w:r>
          </w:p>
        </w:tc>
      </w:tr>
    </w:tbl>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6" w:type="default"/>
      <w:footerReference r:id="rId7"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de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www.estudiandotributario.es</w:t>
    </w:r>
    <w:r w:rsidDel="00000000" w:rsidR="00000000" w:rsidRPr="00000000">
      <w:rPr>
        <w:rtl w:val="0"/>
      </w:rPr>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b w:val="0"/>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