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229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6"/>
        <w:gridCol w:w="1597"/>
        <w:gridCol w:w="3882"/>
        <w:gridCol w:w="4340"/>
        <w:gridCol w:w="3685"/>
        <w:gridCol w:w="1985"/>
        <w:gridCol w:w="1134"/>
        <w:gridCol w:w="1266"/>
      </w:tblGrid>
      <w:tr w:rsidR="000D5CAB" w:rsidRPr="007F1E5F" w14:paraId="11BDDF7C" w14:textId="77777777" w:rsidTr="009B435A">
        <w:trPr>
          <w:tblHeader/>
        </w:trPr>
        <w:tc>
          <w:tcPr>
            <w:tcW w:w="5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C743E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INFRACCIÓN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43DA6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ARTÍCULO</w:t>
            </w: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BE088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BASE DE LA SANCIÓN (BS)</w:t>
            </w:r>
          </w:p>
        </w:tc>
        <w:tc>
          <w:tcPr>
            <w:tcW w:w="4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81806B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CALIFICACIÓN</w:t>
            </w:r>
          </w:p>
        </w:tc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87FDC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SANCIÓN</w:t>
            </w:r>
          </w:p>
        </w:tc>
      </w:tr>
      <w:tr w:rsidR="000D5CAB" w:rsidRPr="007F1E5F" w14:paraId="61956947" w14:textId="77777777" w:rsidTr="009B435A">
        <w:trPr>
          <w:tblHeader/>
        </w:trPr>
        <w:tc>
          <w:tcPr>
            <w:tcW w:w="5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C33533E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80D3809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54AA19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80E881A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83393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MULTA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F57FB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MINIMO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4F2042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MAXIMO</w:t>
            </w:r>
          </w:p>
        </w:tc>
      </w:tr>
      <w:tr w:rsidR="000D5CAB" w:rsidRPr="007F1E5F" w14:paraId="3A54FAE8" w14:textId="77777777" w:rsidTr="009B435A">
        <w:trPr>
          <w:tblHeader/>
        </w:trPr>
        <w:tc>
          <w:tcPr>
            <w:tcW w:w="5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F4B8D0" w14:textId="77777777" w:rsidR="000019C7" w:rsidRPr="007F1E5F" w:rsidRDefault="000019C7" w:rsidP="00B62D6D">
            <w:pPr>
              <w:spacing w:before="60" w:after="120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2CC3E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5B4C9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5482D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9ED949" w14:textId="318366B1" w:rsidR="000019C7" w:rsidRPr="00114905" w:rsidRDefault="00C01133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PROPORCIONAL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2B7F0" w14:textId="5CC568A3" w:rsidR="000019C7" w:rsidRPr="00114905" w:rsidRDefault="00114905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114905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FIJA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733AD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6443F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C771A" w:rsidRPr="007F1E5F" w14:paraId="4AC601B4" w14:textId="77777777" w:rsidTr="009B435A">
        <w:trPr>
          <w:trHeight w:val="474"/>
        </w:trPr>
        <w:tc>
          <w:tcPr>
            <w:tcW w:w="229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94491E" w14:textId="1DF282A8" w:rsidR="009C771A" w:rsidRPr="007F1E5F" w:rsidRDefault="009C771A" w:rsidP="00114905">
            <w:pPr>
              <w:spacing w:before="60" w:after="120"/>
              <w:rPr>
                <w:rFonts w:ascii="Palatino Linotype" w:hAnsi="Palatino Linotype" w:cs="Times New Roman"/>
                <w:color w:val="000000" w:themeColor="text1"/>
                <w:sz w:val="24"/>
                <w:szCs w:val="24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1. INFRACCIONES QUE PRODUCEN PERJUICIO ECONÓMICO</w:t>
            </w:r>
          </w:p>
        </w:tc>
      </w:tr>
      <w:tr w:rsidR="000D5CAB" w:rsidRPr="007F1E5F" w14:paraId="2A081CF8" w14:textId="77777777" w:rsidTr="009B435A">
        <w:trPr>
          <w:trHeight w:val="3220"/>
        </w:trPr>
        <w:tc>
          <w:tcPr>
            <w:tcW w:w="5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71465" w14:textId="77777777" w:rsidR="00C01133" w:rsidRPr="007F1E5F" w:rsidRDefault="008528BC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Por dejar de ingresar dentro del plazo establecido por la normativa de cada tributo la totalidad o parte de la deuda tributaria que debiera de resultar de la correcta autoliquidación del tributo salvo que</w:t>
            </w:r>
            <w:r w:rsidR="00C01133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B016161" w14:textId="39DC02D5" w:rsidR="00C01133" w:rsidRPr="007F1E5F" w:rsidRDefault="00C01133" w:rsidP="00C01133">
            <w:pPr>
              <w:pStyle w:val="Prrafodelista"/>
              <w:numPr>
                <w:ilvl w:val="0"/>
                <w:numId w:val="5"/>
              </w:numPr>
              <w:spacing w:before="60" w:after="120"/>
              <w:ind w:left="449" w:hanging="283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S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e regularice con arreglo al art.º 27 LGT</w:t>
            </w:r>
          </w:p>
          <w:p w14:paraId="3003FA6A" w14:textId="7921B543" w:rsidR="000019C7" w:rsidRPr="007F1E5F" w:rsidRDefault="00C01133" w:rsidP="00C01133">
            <w:pPr>
              <w:pStyle w:val="Prrafodelista"/>
              <w:numPr>
                <w:ilvl w:val="0"/>
                <w:numId w:val="5"/>
              </w:numPr>
              <w:spacing w:before="60" w:after="120"/>
              <w:ind w:left="449" w:hanging="283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roceda la aplicación del párrafo b) del apartado 1 A161 LGT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(Inicio del período ejecutivo)</w:t>
            </w:r>
          </w:p>
          <w:p w14:paraId="5A34DB6B" w14:textId="77777777" w:rsidR="000019C7" w:rsidRPr="007F1E5F" w:rsidRDefault="00C01133" w:rsidP="00EE504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También la falta de ingreso total o parcial de la deuda tributaria de los socios, comuneros, herederos o partícipes derivada de cantidades no atribuidas o atribuidas incorrectamente por las entidades en atribución de rentas.</w:t>
            </w:r>
          </w:p>
          <w:p w14:paraId="3C96C5FD" w14:textId="62BAFCC3" w:rsidR="00EE504D" w:rsidRPr="007F1E5F" w:rsidRDefault="00EE504D" w:rsidP="00EE504D">
            <w:pPr>
              <w:jc w:val="both"/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</w:pPr>
            <w:r w:rsidRPr="007F1E5F">
              <w:rPr>
                <w:rFonts w:ascii="Palatino Linotype" w:hAnsi="Palatino Linotype" w:cs="Times New Roman"/>
                <w:bCs/>
                <w:i/>
                <w:color w:val="000000" w:themeColor="text1"/>
                <w:sz w:val="20"/>
                <w:szCs w:val="20"/>
              </w:rPr>
              <w:t>Cuando</w:t>
            </w:r>
            <w:r w:rsidRPr="007F1E5F"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i/>
                <w:sz w:val="20"/>
                <w:szCs w:val="20"/>
                <w:lang w:eastAsia="ja-JP"/>
              </w:rPr>
              <w:t>el obligado tributario hubiera obtenido indebidamente una devolución</w:t>
            </w:r>
            <w:r w:rsidRPr="007F1E5F"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  <w:t xml:space="preserve"> y </w:t>
            </w:r>
            <w:r w:rsidRPr="007F1E5F">
              <w:rPr>
                <w:rFonts w:ascii="Palatino Linotype" w:hAnsi="Palatino Linotype" w:cs="Times New Roman"/>
                <w:i/>
                <w:sz w:val="20"/>
                <w:szCs w:val="20"/>
                <w:lang w:eastAsia="ja-JP"/>
              </w:rPr>
              <w:t>como consecuencia de la regularización practicada procediera la imposición de una sanción de las reguladas en este artículo</w:t>
            </w:r>
            <w:r w:rsidRPr="007F1E5F"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  <w:t xml:space="preserve">, </w:t>
            </w:r>
            <w:r w:rsidRPr="007F1E5F">
              <w:rPr>
                <w:rFonts w:ascii="Palatino Linotype" w:hAnsi="Palatino Linotype" w:cs="Times New Roman"/>
                <w:i/>
                <w:sz w:val="20"/>
                <w:szCs w:val="20"/>
                <w:lang w:eastAsia="ja-JP"/>
              </w:rPr>
              <w:t>se entenderá que la cuantía no ingresada es el resultado de adicionar al importe de la devolución obtenida indebidamente la cuantía total que hubiera debido ingresarse en la autoliquidación y que el perjuicio económico es del 100 por ciento</w:t>
            </w:r>
            <w:r w:rsidRPr="007F1E5F"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  <w:t>.</w:t>
            </w:r>
          </w:p>
          <w:p w14:paraId="2F23999F" w14:textId="7F365B91" w:rsidR="00EE504D" w:rsidRPr="007F1E5F" w:rsidRDefault="00EE504D" w:rsidP="00EE504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i/>
                <w:sz w:val="20"/>
                <w:szCs w:val="20"/>
                <w:lang w:eastAsia="ja-JP"/>
              </w:rPr>
              <w:t xml:space="preserve">En estos supuestos, no será sancionable la infracción a la que se refiere </w:t>
            </w:r>
            <w:r w:rsidRPr="007F1E5F">
              <w:rPr>
                <w:rFonts w:ascii="Palatino Linotype" w:hAnsi="Palatino Linotype" w:cs="Times New Roman"/>
                <w:i/>
                <w:color w:val="007A3D"/>
                <w:sz w:val="20"/>
                <w:szCs w:val="20"/>
              </w:rPr>
              <w:t xml:space="preserve">el </w:t>
            </w:r>
            <w:r w:rsidRPr="00114905">
              <w:rPr>
                <w:rFonts w:ascii="Palatino Linotype" w:hAnsi="Palatino Linotype" w:cs="Times New Roman"/>
                <w:b/>
                <w:bCs/>
                <w:i/>
                <w:color w:val="000000" w:themeColor="text1"/>
                <w:sz w:val="20"/>
                <w:szCs w:val="20"/>
              </w:rPr>
              <w:t>artículo 193 de esta ley</w:t>
            </w:r>
            <w:r w:rsidRPr="007F1E5F">
              <w:rPr>
                <w:rFonts w:ascii="Palatino Linotype" w:hAnsi="Palatino Linotype" w:cs="Times New Roman"/>
                <w:sz w:val="20"/>
                <w:szCs w:val="20"/>
                <w:lang w:eastAsia="ja-JP"/>
              </w:rPr>
              <w:t xml:space="preserve">, </w:t>
            </w:r>
            <w:r w:rsidRPr="007F1E5F">
              <w:rPr>
                <w:rFonts w:ascii="Palatino Linotype" w:hAnsi="Palatino Linotype" w:cs="Times New Roman"/>
                <w:i/>
                <w:sz w:val="20"/>
                <w:szCs w:val="20"/>
                <w:lang w:eastAsia="ja-JP"/>
              </w:rPr>
              <w:t>consistente en obtener indebidamente una devolución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77734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A191 LGT</w:t>
            </w:r>
          </w:p>
          <w:p w14:paraId="03C9321F" w14:textId="69544CB4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Compatible con A194 y A195 (A180.2 LGT)</w:t>
            </w: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889D7" w14:textId="6ED97343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Cuantía no ingresada en la autoliquidación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como consecuencia de la comisión de la infracción</w:t>
            </w:r>
          </w:p>
        </w:tc>
        <w:tc>
          <w:tcPr>
            <w:tcW w:w="4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CEBFF" w14:textId="0A49486A" w:rsidR="000019C7" w:rsidRPr="007F1E5F" w:rsidRDefault="00083814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LEVE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0F768F40" w14:textId="71F707A2" w:rsidR="000019C7" w:rsidRPr="007F1E5F" w:rsidRDefault="00C01133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Cuando la </w:t>
            </w:r>
            <w:r w:rsidR="000019C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BS &lt;= 3.000 euros o siendo superior no exista ocultación</w:t>
            </w:r>
          </w:p>
          <w:p w14:paraId="4D29EC20" w14:textId="6AF8E9B6" w:rsidR="00885857" w:rsidRPr="007F1E5F" w:rsidRDefault="00C01133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También constituirá infracción leve la falta de ingreso en plazo de tributos o pagos que hubieran sido incluidos o regularizaos por el mismo obligado tributario en una autoliquidación presentada con posterioridad sin cumplir los requisitos establecidos </w:t>
            </w:r>
            <w:r w:rsidR="005676F3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en el </w:t>
            </w:r>
            <w:r w:rsidR="00885857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A27.4 LGT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para la aplicación de los Recargos por Declaración Extemporánea.</w:t>
            </w:r>
          </w:p>
          <w:p w14:paraId="1CC7672D" w14:textId="6D168CD0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No será Leve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c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ualquiera que fuera la cuantía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BS:</w:t>
            </w:r>
          </w:p>
          <w:p w14:paraId="28CDF8D9" w14:textId="59650B72" w:rsidR="000019C7" w:rsidRPr="007F1E5F" w:rsidRDefault="0088585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  <w:vertAlign w:val="superscript"/>
              </w:rPr>
              <w:t>a)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4905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hayan usado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facturas, justificantes o documentos falsos o falseados, aunque ello no sea constitutivo de medios fraudulentos</w:t>
            </w:r>
            <w:r w:rsidR="00EE504D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. Incidencia no superior al 10% de la BS</w:t>
            </w:r>
          </w:p>
          <w:p w14:paraId="00D06BF6" w14:textId="112B4EF6" w:rsidR="000019C7" w:rsidRPr="007F1E5F" w:rsidRDefault="0088585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  <w:vertAlign w:val="superscript"/>
              </w:rPr>
              <w:t>b)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l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a incidencia de la incorrecta llevanza de los libros o registros sea un % superior a 10% de la BS</w:t>
            </w:r>
          </w:p>
          <w:p w14:paraId="2E1D8F8F" w14:textId="63A522F8" w:rsidR="000019C7" w:rsidRPr="007F1E5F" w:rsidRDefault="0088585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  <w:vertAlign w:val="superscript"/>
              </w:rPr>
              <w:t>c)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haya dejado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ingresar cantidades retenidas o que se debió retener o ingresar a cuenta (</w:t>
            </w:r>
            <w:r w:rsidR="000019C7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Sólo aplicable al A191 LGT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92B6E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3E391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E0BE5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AF7F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5F0E9E6A" w14:textId="77777777" w:rsidTr="009B435A">
        <w:trPr>
          <w:trHeight w:val="2352"/>
        </w:trPr>
        <w:tc>
          <w:tcPr>
            <w:tcW w:w="50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C31B2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4275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B4013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5CEED" w14:textId="1A78064C" w:rsidR="000019C7" w:rsidRPr="007F1E5F" w:rsidRDefault="00083814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GRAVE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:</w:t>
            </w:r>
          </w:p>
          <w:p w14:paraId="3B103283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la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BS &gt;3.000 euros y exista ocultación</w:t>
            </w:r>
          </w:p>
          <w:p w14:paraId="776EB250" w14:textId="47B1C6CA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Cualquiera que sea 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la cuantía de la BS:</w:t>
            </w:r>
          </w:p>
          <w:p w14:paraId="6CBBA863" w14:textId="493E8B85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  <w:vertAlign w:val="superscript"/>
              </w:rPr>
              <w:t>a)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hayan usado facturas, justificantes o documentos falsos o falseados, aunque ello no sea constitutivo de medios fraudulentos</w:t>
            </w:r>
          </w:p>
          <w:p w14:paraId="7637CB95" w14:textId="775BD3AC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  <w:vertAlign w:val="superscript"/>
              </w:rPr>
              <w:t>b)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la incidencia de la incorrecta llevanza de los libros o registros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sea un % &gt;10% e &lt;= 50% de la BS</w:t>
            </w:r>
          </w:p>
          <w:p w14:paraId="558A0971" w14:textId="513B7E60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  <w:vertAlign w:val="superscript"/>
              </w:rPr>
              <w:t>c)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h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aya dejado de ingresar cantidades retenidas o que se debió retener o ingresar a cuenta, 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siempre que las retenciones prácticas y no ingresadas, y los ingresos a cuenta y no ingresados,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representen un % &lt;= 50% BS (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Sólo aplicable al A191 LGT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4DB2F" w14:textId="77777777" w:rsidR="000D5CAB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 al 100%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B9906B3" w14:textId="4638DA8F" w:rsidR="000019C7" w:rsidRPr="007F1E5F" w:rsidRDefault="000D5CAB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Graduándose incrementando</w:t>
            </w:r>
            <w:proofErr w:type="gramEnd"/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el % mínimo conforme a los criterios de </w:t>
            </w:r>
            <w:r w:rsidR="000019C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comisión repetida de infracciones o perjuicio económico </w:t>
            </w:r>
            <w:r w:rsidR="000019C7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art.º 187.1 a) y b)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2C1E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61364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28D97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5E4599DF" w14:textId="77777777" w:rsidTr="009B435A">
        <w:trPr>
          <w:trHeight w:val="173"/>
        </w:trPr>
        <w:tc>
          <w:tcPr>
            <w:tcW w:w="506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E02A10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BA94B0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72B439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78CF71" w14:textId="27CE40FF" w:rsidR="000019C7" w:rsidRPr="007F1E5F" w:rsidRDefault="00083814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MUY GRAVE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EBAE8A3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Utilización de medios fraudulentos</w:t>
            </w:r>
          </w:p>
          <w:p w14:paraId="337B6CBD" w14:textId="60F7F5AA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0D5CAB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Aunque no se haya usado medios fraudulentos, </w:t>
            </w:r>
            <w:r w:rsidR="000D5CAB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uando</w:t>
            </w:r>
            <w:r w:rsidR="00885857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haya dejado de ingresar cantidades retenidas o que se debió retener o ingresar a cuenta, siempre que las retenciones prácticas y no ingresadas, y los ingresos a cuenta y no ingresados, representen un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% &gt;50% BS (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Aplicable sólo art.º 191 LGT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0758FE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100% al 150%</w:t>
            </w:r>
          </w:p>
          <w:p w14:paraId="31EDC2F2" w14:textId="290C8931" w:rsidR="000019C7" w:rsidRPr="007F1E5F" w:rsidRDefault="000D5CAB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Graduándose incrementando</w:t>
            </w:r>
            <w:proofErr w:type="gramEnd"/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el % mínimo conforme a los criterios de comisión repetida de infracciones o perjuicio económico 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art.º 187.1 a) y b)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5C7A03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C16C21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DF9D2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7115227D" w14:textId="77777777" w:rsidTr="009B435A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2CDCC6" w14:textId="10E62CD4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Por incumplir la obligación de presentar de forma completa y correcta declaraciones o documentos necesarios, incluidos los relacionados con obligaciones aduaneras, para que la AT pueda practicar la </w:t>
            </w:r>
            <w:r w:rsidR="00885857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adecuada liquidación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de aquellos tributos que no se exigen por el procedimiento de autoliquidación salvo que se regularice con arreglo al art.º 27 LGT 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E6CD2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A192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E04C5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La cuantía de la liquidación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cuando no se hubiera presentado declaración.</w:t>
            </w:r>
          </w:p>
          <w:p w14:paraId="4A59AF11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Diferencia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entre la cuantía que resulte de la adecuada liquidación del tributo y a que hubiera procedido de acuerdo con los datos declarados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DED2C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Ídem al artículo 191 LGT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0B48F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Ídem al artículo 191 LGT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BAA4A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0B8A4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84AAA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1E489EB2" w14:textId="77777777" w:rsidTr="009B435A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D9013B" w14:textId="19A973B1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Por </w:t>
            </w:r>
            <w:r w:rsidR="00727C7F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obtener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indebidamente devoluciones derivados de la normativa de cada tributo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11CF5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A193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58268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Será la cantidad devuelta indebidamente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89AB6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Ídem al artículo 191 LGT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4042C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Ídem al artículo 191 LGT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0CD78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576B5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E5827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80146" w:rsidRPr="007F1E5F" w14:paraId="6FFDD59E" w14:textId="77777777" w:rsidTr="009B435A">
        <w:trPr>
          <w:trHeight w:val="1084"/>
        </w:trPr>
        <w:tc>
          <w:tcPr>
            <w:tcW w:w="5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FCD3ED" w14:textId="5387E1F4" w:rsidR="00080146" w:rsidRPr="007F1E5F" w:rsidRDefault="00080146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Por </w:t>
            </w:r>
            <w:r w:rsidR="00727C7F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solicitar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indebidamente devoluciones derivadas de la normativa de cada tributo mediante la omisión de datos relevantes o la inclusión de datos falsos sin que las devoluciones se hayan obtenido.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14:paraId="4C3C2306" w14:textId="77777777" w:rsidR="00080146" w:rsidRPr="00114905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A194 LGT</w:t>
            </w:r>
          </w:p>
          <w:p w14:paraId="185B0CF5" w14:textId="64789159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</w:tcBorders>
            <w:vAlign w:val="center"/>
          </w:tcPr>
          <w:p w14:paraId="6863A6BC" w14:textId="77777777" w:rsidR="00080146" w:rsidRPr="007F1E5F" w:rsidRDefault="00080146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La cantidad indebidamente solicitada</w:t>
            </w:r>
          </w:p>
          <w:p w14:paraId="1E6EDF9D" w14:textId="4780EFD1" w:rsidR="00080146" w:rsidRPr="007F1E5F" w:rsidRDefault="00080146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 w:val="restart"/>
            <w:tcBorders>
              <w:top w:val="single" w:sz="12" w:space="0" w:color="auto"/>
            </w:tcBorders>
            <w:vAlign w:val="center"/>
          </w:tcPr>
          <w:p w14:paraId="1E8559FC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7CD9EB1D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F1DBE2E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15D449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DCBBD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80146" w:rsidRPr="007F1E5F" w14:paraId="59D1BF1A" w14:textId="77777777" w:rsidTr="009B435A">
        <w:trPr>
          <w:trHeight w:val="137"/>
        </w:trPr>
        <w:tc>
          <w:tcPr>
            <w:tcW w:w="50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F904EF" w14:textId="6679E0C2" w:rsidR="00080146" w:rsidRPr="007F1E5F" w:rsidRDefault="00080146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Por obtener beneficios o incentivos fiscales mediante la omisión de datos relevantes o la inclusión de datos falsos sin que las devoluciones se hayan obtenido</w:t>
            </w:r>
            <w:r w:rsidR="00EE504D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, siempre que no proceda imponer alguna de las infracciones previstas en los arts. 191, 192 y 193 LGT o la del primer párrafo.</w:t>
            </w: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vAlign w:val="center"/>
          </w:tcPr>
          <w:p w14:paraId="273F2C74" w14:textId="51BFF58E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bottom w:val="single" w:sz="12" w:space="0" w:color="auto"/>
            </w:tcBorders>
            <w:vAlign w:val="center"/>
          </w:tcPr>
          <w:p w14:paraId="357C1E1B" w14:textId="4F5AC5D0" w:rsidR="00080146" w:rsidRPr="007F1E5F" w:rsidRDefault="00080146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bottom w:val="single" w:sz="12" w:space="0" w:color="auto"/>
            </w:tcBorders>
            <w:vAlign w:val="center"/>
          </w:tcPr>
          <w:p w14:paraId="759BB41E" w14:textId="387CF061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159D995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EFD1E8B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300 €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F89863F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F0113B" w14:textId="77777777" w:rsidR="00080146" w:rsidRPr="007F1E5F" w:rsidRDefault="00080146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27E1EA64" w14:textId="77777777" w:rsidTr="009B435A">
        <w:tc>
          <w:tcPr>
            <w:tcW w:w="5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9D2AE6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Por determinar o acreditar improcedentemente partidas positivas o negativas o créditos tributarios a compensar o deducir de la base o cuota de declaraciones futuras, propias o de terceros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14:paraId="4E83AD51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A195LGT</w:t>
            </w:r>
          </w:p>
          <w:p w14:paraId="2C9CEE9E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12" w:space="0" w:color="auto"/>
            </w:tcBorders>
            <w:vAlign w:val="center"/>
          </w:tcPr>
          <w:p w14:paraId="57496ABB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El importe de las cantidades indebidamente determinadas o acreditadas</w:t>
            </w:r>
          </w:p>
        </w:tc>
        <w:tc>
          <w:tcPr>
            <w:tcW w:w="4340" w:type="dxa"/>
            <w:vMerge w:val="restart"/>
            <w:tcBorders>
              <w:top w:val="single" w:sz="12" w:space="0" w:color="auto"/>
            </w:tcBorders>
            <w:vAlign w:val="center"/>
          </w:tcPr>
          <w:p w14:paraId="32BD505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36905CD4" w14:textId="37E01E6C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14:paraId="5B460323" w14:textId="14C80D71" w:rsidR="000019C7" w:rsidRDefault="000019C7" w:rsidP="006F2D04">
            <w:pPr>
              <w:pStyle w:val="Prrafodelista"/>
              <w:numPr>
                <w:ilvl w:val="0"/>
                <w:numId w:val="7"/>
              </w:numPr>
              <w:spacing w:before="60" w:after="120"/>
              <w:ind w:left="310" w:hanging="283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 se trata de partidas a compensar o deducir de la BI</w:t>
            </w:r>
          </w:p>
          <w:p w14:paraId="59B86E1C" w14:textId="77777777" w:rsidR="00727C7F" w:rsidRPr="007F1E5F" w:rsidRDefault="00727C7F" w:rsidP="00727C7F">
            <w:pPr>
              <w:pStyle w:val="Prrafodelista"/>
              <w:spacing w:before="60" w:after="120"/>
              <w:ind w:left="31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  <w:p w14:paraId="27F3328E" w14:textId="26D337AD" w:rsidR="000019C7" w:rsidRPr="007F1E5F" w:rsidRDefault="000019C7" w:rsidP="006F2D04">
            <w:pPr>
              <w:pStyle w:val="Prrafodelista"/>
              <w:numPr>
                <w:ilvl w:val="0"/>
                <w:numId w:val="7"/>
              </w:numPr>
              <w:spacing w:before="60" w:after="120"/>
              <w:ind w:left="310" w:hanging="283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</w:t>
            </w:r>
            <w:r w:rsidR="00080146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i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se trata de partidas a deducir de la cuota o créditos aparentes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7E72716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9D344FE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0AA17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12D65C4C" w14:textId="77777777" w:rsidTr="009B435A">
        <w:tc>
          <w:tcPr>
            <w:tcW w:w="50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9B7CD" w14:textId="149FF38B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 se declare incorrectamente la renta neta, cuotas repercutidas, las cuotas o cantidades a deducir o incentivos fiscales de un período impositivo sin que se produzca falta de ingreso u obtención indebida de devoluciones</w:t>
            </w:r>
            <w:r w:rsidR="00E93CCD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por haberse compensado en un procedimiento de comprobación o investigación cantidades pendientes de compensación, deducción o aplicación</w:t>
            </w: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vAlign w:val="center"/>
          </w:tcPr>
          <w:p w14:paraId="413CF329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tcBorders>
              <w:bottom w:val="single" w:sz="12" w:space="0" w:color="auto"/>
            </w:tcBorders>
            <w:vAlign w:val="center"/>
          </w:tcPr>
          <w:p w14:paraId="160B0495" w14:textId="77777777" w:rsidR="006F2D04" w:rsidRPr="007F1E5F" w:rsidRDefault="000019C7" w:rsidP="006F2D04">
            <w:pPr>
              <w:pStyle w:val="Prrafodelista"/>
              <w:numPr>
                <w:ilvl w:val="0"/>
                <w:numId w:val="6"/>
              </w:numPr>
              <w:spacing w:before="60" w:after="120"/>
              <w:ind w:left="310" w:hanging="284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Incremento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renta neta o de las cuotas repercutidas, </w:t>
            </w:r>
          </w:p>
          <w:p w14:paraId="4A49B4D8" w14:textId="3345C107" w:rsidR="000019C7" w:rsidRPr="007F1E5F" w:rsidRDefault="000019C7" w:rsidP="006F2D04">
            <w:pPr>
              <w:pStyle w:val="Prrafodelista"/>
              <w:numPr>
                <w:ilvl w:val="0"/>
                <w:numId w:val="6"/>
              </w:numPr>
              <w:spacing w:before="60" w:after="120"/>
              <w:ind w:left="310" w:hanging="284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o la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minoración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las cantidades o cuotas a deducir o de los incentivos fiscales del período impositivo</w:t>
            </w:r>
          </w:p>
        </w:tc>
        <w:tc>
          <w:tcPr>
            <w:tcW w:w="4340" w:type="dxa"/>
            <w:vMerge/>
            <w:tcBorders>
              <w:bottom w:val="single" w:sz="12" w:space="0" w:color="auto"/>
            </w:tcBorders>
            <w:vAlign w:val="center"/>
          </w:tcPr>
          <w:p w14:paraId="08ABA767" w14:textId="18A9520C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  <w:vAlign w:val="center"/>
          </w:tcPr>
          <w:p w14:paraId="3C41C13B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419ED1B8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4E05F28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AF36CF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22ACF427" w14:textId="77777777" w:rsidTr="009B435A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9F92D2" w14:textId="45506EE1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lastRenderedPageBreak/>
              <w:t>Imputar incorrectamente o no imputar bases imponibles o resultados a los socios o miembros por las entidades sometidas al régimen de imputación de rentas</w:t>
            </w:r>
            <w:r w:rsidR="00E93CCD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E93CCD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No constituirá sanción por la parte de las bases o resultados que hubiese dado lugar a la imposición de una sanción a la entidad sometida al régimen de imputación de rentas por la comisión de las infracciones de los </w:t>
            </w:r>
            <w:r w:rsidR="00E93CCD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arts. 191, 192 y 193 LGT.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05982" w14:textId="77777777" w:rsidR="000019C7" w:rsidRPr="00114905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A196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FC59D" w14:textId="7777777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El importe de las cantidades no imputadas</w:t>
            </w:r>
          </w:p>
          <w:p w14:paraId="41FCD926" w14:textId="7137BA5F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</w:t>
            </w:r>
            <w:r w:rsidR="00C960B6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En el caso de cantidades imputadas incorrectamente la BS </w:t>
            </w:r>
            <w:r w:rsidR="00164E85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será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el importe que resulte de sumar las diferencias con signo </w:t>
            </w:r>
            <w:r w:rsidR="00164E85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(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+</w:t>
            </w:r>
            <w:r w:rsidR="00164E85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sin compensación con las diferencias </w:t>
            </w:r>
            <w:r w:rsidR="00164E85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(-)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, entre las cantidades que debieron imputarse a cada socio o miembro y las que se imputaron a cada uno de ellos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35ABA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C55D5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59210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146CD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62242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0D5CAB" w:rsidRPr="007F1E5F" w14:paraId="0ADED383" w14:textId="77777777" w:rsidTr="009B435A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1F3C28" w14:textId="0090D8B7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Por imputar incorrectamente deducciones, bonificaciones y pagos a cuenta a los socios o miembros por las entidades sometidas a un régimen de imputación de rentas</w:t>
            </w:r>
            <w:r w:rsidR="009A4AC0"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A4AC0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Esta acción no constituirá infracción por la parte de las cantidades incorrectamente imputadas a los socios o participes que hubiese dado lugar a la imposición de una sanción a la entidad sometida a un régimen de imputación de rentas por la comisión de las infracciones de los arts. </w:t>
            </w:r>
            <w:r w:rsidR="009A4AC0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 xml:space="preserve">191, 192 </w:t>
            </w:r>
            <w:r w:rsidR="00A03D96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9A4AC0"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 xml:space="preserve"> 193 LGT.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3A904" w14:textId="77777777" w:rsidR="000019C7" w:rsidRPr="00727C7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7C7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A197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963AF" w14:textId="134FA174" w:rsidR="000019C7" w:rsidRPr="007F1E5F" w:rsidRDefault="000019C7" w:rsidP="00B62D6D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Será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el importe que resulte de sumar las diferencias con signo </w:t>
            </w:r>
            <w:r w:rsidR="009A4AC0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(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+</w:t>
            </w:r>
            <w:r w:rsidR="009A4AC0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sin compensación con las diferencias </w:t>
            </w:r>
            <w:r w:rsidR="009A4AC0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(-)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, entre las cantidades que debieron imputarse a cada socio o miembro y las que se imputaron a cada uno de ellos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21607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3E222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75%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71927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CCF1A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1DB82" w14:textId="77777777" w:rsidR="000019C7" w:rsidRPr="007F1E5F" w:rsidRDefault="000019C7" w:rsidP="00B62D6D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9B435A" w:rsidRPr="009B435A" w14:paraId="6133CC46" w14:textId="77777777" w:rsidTr="00727C7F">
        <w:tc>
          <w:tcPr>
            <w:tcW w:w="229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EA59A" w14:textId="79347F09" w:rsidR="009B435A" w:rsidRPr="009B435A" w:rsidRDefault="009B435A" w:rsidP="00114905">
            <w:pPr>
              <w:spacing w:before="60" w:after="120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2. INFRACCIONES QUE NO PRODUCEN PERJUICIO ECONÓMICO</w:t>
            </w:r>
          </w:p>
        </w:tc>
      </w:tr>
      <w:tr w:rsidR="00F0285F" w:rsidRPr="007F1E5F" w14:paraId="66391188" w14:textId="77777777" w:rsidTr="00797DDF">
        <w:tc>
          <w:tcPr>
            <w:tcW w:w="50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27BF4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No presentar en plazo autoliquidaciones o declaraciones, así como los documentos relacionaos con las obligaciones aduaneras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sin que se produzca perjuicio económico.</w:t>
            </w:r>
          </w:p>
          <w:p w14:paraId="72CE1D84" w14:textId="7B3A088B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Si se presenta en plazo, pero incompletas, inexactas o con datos falsos y posteriormente se presenta fuera de plazo autoliquidación o declaración complementaria o sustitutiva de las anteriores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se aplicará la sanción de este artículo y apartado y no el 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 xml:space="preserve">A194 </w:t>
            </w:r>
            <w:r w:rsidRPr="00114905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o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 xml:space="preserve"> A199 LGT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en relación con la autoliquidación y declaración presentada en plazo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B294" w14:textId="77777777" w:rsidR="00F0285F" w:rsidRPr="00114905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A198 LGT</w:t>
            </w:r>
          </w:p>
          <w:p w14:paraId="0ADDE229" w14:textId="77777777" w:rsidR="00F0285F" w:rsidRPr="00114905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Compatible con las del A199 y A203 LGT (A180.2 LGT)</w:t>
            </w:r>
          </w:p>
          <w:p w14:paraId="684F4F8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45AA0020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D3938F" w14:textId="7D3A0540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096D0" w14:textId="35E85798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Con carácter general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E03B" w14:textId="77777777" w:rsidR="00F028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  <w:p w14:paraId="2D753910" w14:textId="702240DA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200€</w:t>
            </w:r>
          </w:p>
          <w:p w14:paraId="1D36767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A8E7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E834A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75AFB06E" w14:textId="77777777" w:rsidTr="00797DDF">
        <w:tc>
          <w:tcPr>
            <w:tcW w:w="50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E8C02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DF93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0DF683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B6E96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06DF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Si se trata de declaraciones censales o la comunicación de la designación del representante de personas o entidades cuando así lo establezca la normativa</w:t>
            </w:r>
          </w:p>
          <w:p w14:paraId="1E247E2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ED1E" w14:textId="415755E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400€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8C43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7AC39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4B276C52" w14:textId="77777777" w:rsidTr="00797DDF">
        <w:tc>
          <w:tcPr>
            <w:tcW w:w="50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916444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06FE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92523B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95C5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7D383" w14:textId="42735C2E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Incumplimiento de la presentación de declaraciones exigidas del deber de suministrar información 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A93 y A94 LGT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2FFD" w14:textId="5EA43B1C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por cada dato o conjunto de datos referidos a una misma persona o entidad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F03A" w14:textId="5D7C7850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4FA987" w14:textId="0B20786C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20.000€</w:t>
            </w:r>
          </w:p>
        </w:tc>
      </w:tr>
      <w:tr w:rsidR="00F0285F" w:rsidRPr="007F1E5F" w14:paraId="3D2AAC31" w14:textId="77777777" w:rsidTr="00797DDF">
        <w:tc>
          <w:tcPr>
            <w:tcW w:w="506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C0A5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844C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B40B32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E42C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475F4" w14:textId="291CADA4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Presentadas fuera de plazo sin requerimiento previo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DEB2E" w14:textId="4C3E3E40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La mitad de los previstos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41FE0" w14:textId="0AE6F6A5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La mitad de los previstos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797E2" w14:textId="5990BFCD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La mitad de los previstos</w:t>
            </w:r>
          </w:p>
        </w:tc>
      </w:tr>
      <w:tr w:rsidR="00F0285F" w:rsidRPr="007F1E5F" w14:paraId="648E0D98" w14:textId="77777777" w:rsidTr="00797DD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0421A" w14:textId="38AC76C2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Si se hubiere realizado requerimientos la sanción del apartado anterior será compatible con la establecida en el A203 por la desatención de requerimientos realizados.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4D0A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55CED7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CFA1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4B197" w14:textId="77777777" w:rsidR="00F0285F" w:rsidRPr="00114905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Sanción compatible con la del </w:t>
            </w: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A203 LGT:</w:t>
            </w:r>
          </w:p>
          <w:p w14:paraId="3342ACE7" w14:textId="0B2DC1C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resistencia, obstrucción, excusa o negativa a las actuaciones de la AT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FF96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EC173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902FF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2E8299D9" w14:textId="77777777" w:rsidTr="00797DD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5ED58" w14:textId="6354E7E8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lastRenderedPageBreak/>
              <w:t>Por no presentar en plazo documentos y declaraciones relacionados con las formalidades aduaneras que no determinen el nacimiento de una deuda aduanera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0B3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DB99B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668D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0F1ED" w14:textId="4B519376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 por mil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valor de las mercancías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DC14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C5" w14:textId="1392EA1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574F1C" w14:textId="062B2E21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6.000€</w:t>
            </w:r>
          </w:p>
        </w:tc>
      </w:tr>
      <w:tr w:rsidR="00F0285F" w:rsidRPr="007F1E5F" w14:paraId="40478314" w14:textId="77777777" w:rsidTr="00797DD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D579E" w14:textId="127C5B5A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Por incumplir la obligación de comunicar el domicilio fiscal o el cambio </w:t>
            </w:r>
            <w:proofErr w:type="gram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del mismo</w:t>
            </w:r>
            <w:proofErr w:type="gram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por las personas físicas que no realicen actividades económicas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4B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FCC2C9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97EDA" w14:textId="47C9514E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41EF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535FC" w14:textId="1140ED5D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4E43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54838D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484A42FB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7C18A" w14:textId="63F87238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 las condiciones establecidas en una autorización concedida por la autoridad aduanera o de las condiciones a que quedan sujetas las mercancías por aplicación de la normativa aduanera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88973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1CCDEE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14CD80" w14:textId="4D42C2C8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1C572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486117" w14:textId="153756D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C174BD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8582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6C9C252A" w14:textId="77777777" w:rsidTr="00F0285F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AA3BC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Presentar de forma incompleta, inexacta o con datos falsos:</w:t>
            </w:r>
          </w:p>
          <w:p w14:paraId="23C1100A" w14:textId="39C10A92" w:rsidR="00F0285F" w:rsidRPr="007F1E5F" w:rsidRDefault="00727C7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F0285F"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. Autoliquidaciones o declaraciones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0379" w14:textId="77777777" w:rsidR="00F0285F" w:rsidRPr="00114905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905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A199 LGT</w:t>
            </w:r>
          </w:p>
          <w:p w14:paraId="4091068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554E6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20E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4586B0D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A9479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5579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</w:p>
          <w:p w14:paraId="715ECF8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C6B9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C99D1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4D3EB843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0102B" w14:textId="7A2FC71D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. Declaraciones censales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8FF9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1FFA5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95B3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C698D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6AF8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250€</w:t>
            </w:r>
          </w:p>
          <w:p w14:paraId="6C0A1EB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19D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70176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128F1D59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7B2E3" w14:textId="17659D00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. Declaraciones y dtos. relacionados con las formalidades aduaneras que no determinen el nacimiento de una deuda aduanera.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6997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A2C65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5E11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8938F" w14:textId="3044CF49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 por mil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valor de las mercancías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19FE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46C9" w14:textId="5AD0E588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B9B3B" w14:textId="1B026D39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6.000€</w:t>
            </w:r>
          </w:p>
        </w:tc>
      </w:tr>
      <w:tr w:rsidR="00F0285F" w:rsidRPr="007F1E5F" w14:paraId="1D1D9699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73C86" w14:textId="132723A2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. Si se presentan por medios distintos a los electrónicos, informáticos o telemáticos cuando exista obligación de hacerlo por dichos medios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9C2E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74381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5840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DEE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F519C" w14:textId="5F8EAC3B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250€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A93B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72406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0979157E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A3E32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Tratándose de Requerimientos individualizados o de declaraciones exigidas en cumplimiento del deber de suministro de información del A93 y A94 LGT:</w:t>
            </w:r>
          </w:p>
          <w:p w14:paraId="59AF8ACB" w14:textId="44AC152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727C7F" w:rsidRPr="00727C7F">
              <w:rPr>
                <w:b/>
                <w:bCs/>
                <w:sz w:val="20"/>
                <w:szCs w:val="20"/>
              </w:rPr>
              <w:t>Que no tengan por objeto datos expresados en magnitudes monetarias</w:t>
            </w:r>
            <w:r w:rsidRPr="00727C7F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y hayan sido contestados o presentados de forma incompleta, inexacta o con datos falsos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C821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4961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E3D89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15B40CF2" w14:textId="7F0B805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La sanción se graduará incrementando en un 100% en el caso de comisión repetida de infracciones tributarias 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1594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C0AC9" w14:textId="62BB6370" w:rsidR="00F0285F" w:rsidRPr="00F0285F" w:rsidRDefault="00F0285F" w:rsidP="00F0285F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por cada dato o conjunto de datos referidos a una misma persona o entidad omitido, inexacto o falso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687C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32BC9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2839DC1C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23400" w14:textId="4EBDE833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1.1.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 se presentan por medios distintos a los electrónicos, informáticos o telemáticos cuando exista obligación de hacerlo por dichos medios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19CA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34C12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1D80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13DA181F" w14:textId="1E4A374D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C1EF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D1BC4" w14:textId="414A841F" w:rsidR="00F0285F" w:rsidRPr="007F1E5F" w:rsidRDefault="00F0285F" w:rsidP="00F0285F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100 €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por cada dato o conjunto de datos referidos a una misma persona o entidad omitido, inexacto o falso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37B4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250€</w:t>
            </w:r>
          </w:p>
          <w:p w14:paraId="313ED17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F7BDD1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50AD400C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3BE8F" w14:textId="589688C2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7C7F" w:rsidRPr="00F0285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Que tengan por objeto datos expresados en magnitudes monetarias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y hayan sido contestados o presentados de forma incompleta, inexacta o con datos falsos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24613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6FD5F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4469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009327BE" w14:textId="3674AAE1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C5108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Hasta el 2%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 las operaciones no declarados o declaradas incorrectamente.</w:t>
            </w:r>
          </w:p>
          <w:p w14:paraId="28684BAA" w14:textId="1D4D6AD6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Si el importe de las operaciones no declarados o declaradas incorrectamente representan un %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 xml:space="preserve">superior al 10, 25, 50 o 75% del importe de las operaciones que debieron declararse, la sanción consistirá en el % del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0,5, 1, 1,5 y 2%.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 es inferior al 10%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cuantía fija de 500 €.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B6F9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85FCB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500€</w:t>
            </w:r>
          </w:p>
          <w:p w14:paraId="5165712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B2AD4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B435A" w:rsidRPr="007F1E5F" w14:paraId="5B0B3762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856F4" w14:textId="58589E11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2.1.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 se presentan por medios distintos a los electrónicos, informáticos o telemáticos cuando exista obligación de hacerlo por dichos medios 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CB2D2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F682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4C87E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3681B95C" w14:textId="647C6D34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0D9FC" w14:textId="14763F28" w:rsidR="009B435A" w:rsidRPr="007F1E5F" w:rsidRDefault="009B435A" w:rsidP="00F0285F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7710B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19E27" w14:textId="77777777" w:rsidR="009B435A" w:rsidRPr="007F1E5F" w:rsidRDefault="009B435A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250€</w:t>
            </w:r>
          </w:p>
          <w:p w14:paraId="32A853F7" w14:textId="77777777" w:rsidR="009B435A" w:rsidRPr="007F1E5F" w:rsidRDefault="009B435A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AA0192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B435A" w:rsidRPr="007F1E5F" w14:paraId="3A0A0537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88FBC" w14:textId="2D76D1F8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Presentar autoliquidaciones, declaraciones, documentos relacionados con obligaciones aduaneras u otros dtos. con transcendencia tributaria por medios distintos a los electrónicos, informáticos y telemáticos cuando exista obligación de hacerlo por dichos medios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6F2485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D8DAA9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61D968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69493ECA" w14:textId="3EDE3B1B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AAA78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6A8453" w14:textId="6E8E49DB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250€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634FF9" w14:textId="77777777" w:rsidR="009B435A" w:rsidRPr="007F1E5F" w:rsidRDefault="009B435A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FEBE9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7A2DD6E8" w14:textId="77777777" w:rsidTr="00F0285F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FE8F1F" w14:textId="4B9A8BC6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Por incumplir las obligaciones contables y registrales salvo: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F110C3" w14:textId="77777777" w:rsidR="00F0285F" w:rsidRPr="00F028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285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A200 LGT</w:t>
            </w:r>
          </w:p>
          <w:p w14:paraId="5FC54FA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F8CDC9C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1CB68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49F80F9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C7AA8D6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ABEE30" w14:textId="6993EB0E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con carácter general salvo: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DD761D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0905B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0131EF6F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3B3985" w14:textId="73BB201B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Por inexactitud u omisión de operaciones en la contabilidad o libro registros o utilización de cuentas con significado distinto al que corresponda que dificulte la comprobación de la situación tributaria del OT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A7E9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76D6C0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193533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AE13D" w14:textId="6CCBA125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los cargos y abonos o anotaciones omitidos, inexactos, falseados o recogidos en cuentas con significado distinto del que les corresponda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F907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50A21" w14:textId="5AF1FF0D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B26DFA" w14:textId="10D2843F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6.000€</w:t>
            </w:r>
          </w:p>
        </w:tc>
      </w:tr>
      <w:tr w:rsidR="00F0285F" w:rsidRPr="007F1E5F" w14:paraId="379C0D30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59815C" w14:textId="78B2CF10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 Incumplimiento de llevar o conservar la contabilidad, los libros y registros establecidos en las normas tributarias, los programas y archivos que le sirvan de soporte y los sistemas de codificación utilizados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45F8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913488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990D4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9EA499" w14:textId="7EBE96D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del sujeto infractor en el ejercicio al que se refiere la infracción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1D52B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FB9EE8" w14:textId="70ADA406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600€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0C155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2A05A25B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05AA8C" w14:textId="353244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3. Llevanza de contabilidades distintas referidas a una misma actividad y ejercicio económico que dificulten el verdadero conocimiento de la situación del obligado tributario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6C96FF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9A22E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FADFA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245FC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39942" w14:textId="6479670A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por cada uno de los ejercicios económicos a los que alcance dicha llevanza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1B421C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C3EA70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2F89D4A2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AA6676" w14:textId="55AF0D29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4. Retraso de más de 4 meses en la llevanza de la contabilidad o libros o registros exigidos por las normas tributarias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2980E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2F510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C023C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2A6A21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365B17" w14:textId="3798D495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158CC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C862F9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72A723CC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D55D8D" w14:textId="111535D5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5. La autorización de libros o registros sin haber sido diligenciados o habilitados por la Administración cuando la normativa tributaria o aduanera exija dicho requisito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2D5F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76CBA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62E90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34427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AA815B" w14:textId="75BEF56E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315D31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11889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4AD79D7B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4A0D73" w14:textId="4CC1678D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6. Retraso en la llevanza de los libros registros a través de la sede electrónica de la AT mediante el suministro de los registros de facturación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F2C9E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383D37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915DD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3C8F7E9" w14:textId="32AE6D55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0,5%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 la factura objeto del Registro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FDB8F7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1AD9A4" w14:textId="68A518F0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 trimestral</w:t>
            </w: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C1828" w14:textId="20BA9ED5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6.000€ trimestral</w:t>
            </w:r>
          </w:p>
        </w:tc>
      </w:tr>
      <w:tr w:rsidR="00F0285F" w:rsidRPr="007F1E5F" w14:paraId="29E607B8" w14:textId="77777777" w:rsidTr="00F0285F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C2F07D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lastRenderedPageBreak/>
              <w:t>Incumplimiento de las obligaciones de facturación, entre otras, la expedición, remisión, rectificación y conservación de facturas, justificantes y documentos sustitutivos:</w:t>
            </w:r>
          </w:p>
          <w:p w14:paraId="2D5C1659" w14:textId="6990D2A9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Cuando se incumplan los requisitos exigidos por la normativa reguladora de la obligación de facturación, salvo punto 2 y punto 3. Entre otros, se considerarán los incumplimientos relativos a la expedición, remisión, rectificación y conservación de facturas o documentos sustitutivos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3EE82EB" w14:textId="77777777" w:rsidR="00F0285F" w:rsidRPr="00F028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285F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A201 LGT</w:t>
            </w:r>
          </w:p>
          <w:p w14:paraId="40D210A6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5929C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21764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3EC3FE1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Se graduarán las infracciones incrementando la cuantía resultante un 100% por cada documento incorrectamente expedido o utilizado (1)</w:t>
            </w:r>
          </w:p>
          <w:p w14:paraId="7D66507F" w14:textId="7FF70F24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Si se produce el incumplimiento sustancial de las obligaciones anteriores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92B1291" w14:textId="440CDC0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del conjunto de las operaciones que haya originado la infracción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4743D62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63CA57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66178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6B9CF36D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318567" w14:textId="7F33917B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 Falta de expedición o falta de conservación de facturas, justificantes o documentos sustitutivos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D78727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68A8A0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6129A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4219EA93" w14:textId="42888D6A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48EB2E" w14:textId="0BA604EF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del conjunto de las operaciones que haya originado la infracción 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73457D" w14:textId="7B180E1A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Si no se conoce el importe de las operaciones: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por cada operación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3D96F7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D5514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0A1B6E7C" w14:textId="77777777" w:rsidTr="00F0285F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DC1CC8" w14:textId="596A421E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3. Expedición de facturas o dtos. sustitutivos con datos falsos o falseados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48F8CC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7DA9A4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776624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Muy Grave</w:t>
            </w:r>
          </w:p>
          <w:p w14:paraId="4AE1B20C" w14:textId="6B966CD6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785C69" w14:textId="04DA2DF4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75%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del conjunto de las operaciones que haya originado la infracción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7E111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639819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CEB5A5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285F" w:rsidRPr="007F1E5F" w14:paraId="79996BAE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4604D8" w14:textId="0DC4DBB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4. Incumplimiento de las obligaciones relativas a la correcta expedición o utilización de los documentos de circulación por la normativa de impuestos especiales salvo que esté tipificada en su normativa reguladora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534838B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AA76AB9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2DA55D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  <w:p w14:paraId="03B62589" w14:textId="762DCF3A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Ídem (1)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DCAA2A7" w14:textId="77777777" w:rsidR="00F0285F" w:rsidRPr="007F1E5F" w:rsidRDefault="00F0285F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1CECF1C" w14:textId="5673DA3B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EC5B7C" w14:textId="77777777" w:rsidR="00F0285F" w:rsidRPr="007F1E5F" w:rsidRDefault="00F0285F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E769E" w14:textId="77777777" w:rsidR="00F0285F" w:rsidRPr="007F1E5F" w:rsidRDefault="00F0285F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6B916FF3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04FF4" w14:textId="4580A74D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 las obligaciones relativas a la utilización del NIF o de otros números y códigos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0FB5" w14:textId="77777777" w:rsidR="00FB023E" w:rsidRPr="00FB023E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A202 LGT</w:t>
            </w:r>
          </w:p>
          <w:p w14:paraId="09D80B8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DE865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93BB1" w14:textId="382A91AF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B656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6F48E" w14:textId="5423B506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0DA55" w14:textId="77777777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54B43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179BB38F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A51C3" w14:textId="4B443862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 deberes de las EEFF: utilización del NIF en las cuentas u operaciones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F65F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8143D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D61FF" w14:textId="1333F3BA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53473" w14:textId="4B19DE2B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las cantidades indebidamente abonadas o cargadas o del importe de la operación o depósito que debería haberse cancelado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9FE31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94C2F" w14:textId="3A6CE8EB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C6B42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1B588D16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A4BA7" w14:textId="2F2951B8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 deberes de las EEFF: libramiento o abono de cheques al portador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45C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36DF6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E61D0" w14:textId="5F30D9AE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B5489" w14:textId="701BE03E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valor facial del efecto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6DBC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AD44A" w14:textId="7876AA46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BED0A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726BC869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CEC6E" w14:textId="2BF44D45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Comunicar datos falsos o falseados en las solicitudes de NIF provisional o definitivo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6E87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3FFE89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148C2F" w14:textId="564523E9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Muy Grave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52CCAE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82EE5F" w14:textId="357F854D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30.000 €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FFB770" w14:textId="77777777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0027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20979200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98F4D" w14:textId="71C8DA79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Infracción tributaria por resistencia, obstrucción, excusa, negativa a la actuación de la AT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247F2" w14:textId="77777777" w:rsidR="00FB023E" w:rsidRPr="00FB023E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A203 LGT</w:t>
            </w:r>
          </w:p>
          <w:p w14:paraId="536B40DB" w14:textId="77777777" w:rsidR="00FB023E" w:rsidRPr="00FB023E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40120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C1439" w14:textId="583EEFA5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0A240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D5F66" w14:textId="017C79E4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salvo lo dispuesto en los apdos. siguientes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7FFA" w14:textId="77777777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27954E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09BB2F0C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4B38D" w14:textId="6D0893A8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Desatender en el plazo concedido el requerimiento distinto a los del apartado 2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30A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CE11F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5234D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80DED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58BFD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</w:t>
            </w:r>
          </w:p>
          <w:p w14:paraId="3EA861C5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300€</w:t>
            </w:r>
          </w:p>
          <w:p w14:paraId="46DB057A" w14:textId="5CBB9BF4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3ª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E04FE" w14:textId="77777777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C25EC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15C0AA08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BF845" w14:textId="1B47AF6E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2. No facilitar el examen, no atender el requerimiento debidamente notificado o negar o impedir indebidamente la entrada o permanencia o el reconocimiento de fincas o locales, maquinas, instalaciones, negocios…etc., o el deber de aportar datos, informes o antecedentes con transcendencia tributaria según A93 y A94 LGT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052C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52CE3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7AC9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542E6" w14:textId="2821BD1E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3ª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Hasta el 2%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del sujeto infractor en el año natural anterior a aquél en que se produjo la infracción. Si el importe de las operaciones es un % &gt; al 10, 25, 50 o 75% a las que debieron declararse la sanción será del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0,5, 1, 1,5 y 2%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del importe de la cifra de negocios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0FD8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300 €</w:t>
            </w:r>
          </w:p>
          <w:p w14:paraId="70EB8892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1.500 €</w:t>
            </w:r>
          </w:p>
          <w:p w14:paraId="714438C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4536F" w14:textId="16E34965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.: 10.000 €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41BB71" w14:textId="28836103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: 400.000 €</w:t>
            </w:r>
          </w:p>
        </w:tc>
      </w:tr>
      <w:tr w:rsidR="00FB023E" w:rsidRPr="007F1E5F" w14:paraId="541CBCC7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A6D7F" w14:textId="6D82FCA0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3. Si el requerimiento se refiere a la información que debe contener las declaraciones exigidas con carácter general en cumplimiento de la obligación de suministro de información del A93 y A94 LGT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772B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968B8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2D3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97C2F" w14:textId="55227A43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Hasta el 3 %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del sujeto infractor en el año natural anterior a aquél en que se produjo la infracción. Si el importe de las operaciones es un % &gt; al 10, 25, 50 o 75% a las que debieron declararse la sanción será del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1, 1,5, 2 y 3%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 la cifra de negocios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DC05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9667C" w14:textId="26B94B29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BD6D73" w14:textId="2D85302C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600.000€</w:t>
            </w:r>
          </w:p>
        </w:tc>
      </w:tr>
      <w:tr w:rsidR="00FB023E" w:rsidRPr="007F1E5F" w14:paraId="7CFF1349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3D6D2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Cuando el sujeto infractor que ofrezca resistencia, obstrucción, excusa o negativa esté siendo objeto de un procedimiento inspector:</w:t>
            </w:r>
          </w:p>
          <w:p w14:paraId="7DCDD79F" w14:textId="22A52782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Personas o entidades que no desarrollen actividades económicas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5FA34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C7815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77347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96B50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3ª Requerimiento:</w:t>
            </w:r>
          </w:p>
          <w:p w14:paraId="79C6A1AB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- Magnitudes monetarias conocidas: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½ del importe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las operaciones requeridas y no contestadas</w:t>
            </w:r>
          </w:p>
          <w:p w14:paraId="2F9E46BB" w14:textId="54351382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- No magnitudes monetarias o no se conoce el importe de las operaciones: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0,5%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s/BI IRPF del último ejercicio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A3BC5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1.000€</w:t>
            </w:r>
          </w:p>
          <w:p w14:paraId="660C48E6" w14:textId="3C13AA5E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5.000€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B9BA8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.:</w:t>
            </w:r>
          </w:p>
          <w:p w14:paraId="00559F03" w14:textId="760F6F1E" w:rsidR="00FB023E" w:rsidRPr="007F1E5F" w:rsidRDefault="00FB023E" w:rsidP="009B435A">
            <w:pPr>
              <w:pStyle w:val="Prrafodelista"/>
              <w:spacing w:before="60" w:after="120"/>
              <w:ind w:left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6D21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.:</w:t>
            </w:r>
          </w:p>
          <w:p w14:paraId="6FC1E870" w14:textId="71570130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100.000 €</w:t>
            </w:r>
          </w:p>
        </w:tc>
      </w:tr>
      <w:tr w:rsidR="00FB023E" w:rsidRPr="007F1E5F" w14:paraId="052088CA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C53D2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 Personas o entidades que desarrollen actividades económicas:</w:t>
            </w:r>
          </w:p>
          <w:p w14:paraId="46694BD2" w14:textId="5B988018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2.1 Aportación o examen de libros de contabilidad, registros fiscales, ficheros, programas…, o incumplimiento de facilitar la entrada o permanencia o reconocimiento de locales, fincas…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EA3B6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B5097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F71A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88B88" w14:textId="04770CA3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correspondiente a último ejercicio cuyo plazo de declaración hubiere finalizado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DB526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B5D5A" w14:textId="662C7C9D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E92AEC" w14:textId="53B5841A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600.000€</w:t>
            </w:r>
          </w:p>
        </w:tc>
      </w:tr>
      <w:tr w:rsidR="00FB023E" w:rsidRPr="007F1E5F" w14:paraId="409DE25E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98851" w14:textId="04020618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2.2 Falta de aportación de datos, informes, antecedentes, documentos, facturas u otros justificantes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F8D6E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16E22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AD887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0874E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3º Requerimiento: </w:t>
            </w:r>
          </w:p>
          <w:p w14:paraId="7B43AB33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- Se refiere a magnitudes económicas conocidas: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½ del importe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las operaciones requeridas y no contestadas</w:t>
            </w:r>
          </w:p>
          <w:p w14:paraId="6191B800" w14:textId="6E0BCAFF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- Si no se refiere a magnitudes económicas conocidas: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correspondiente al último ejercicio cuyo plazo de declaración hubiere finalizado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7820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1ª Requerimiento: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3.000€</w:t>
            </w:r>
          </w:p>
          <w:p w14:paraId="64C5692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2º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18"/>
                <w:szCs w:val="18"/>
              </w:rPr>
              <w:t>Requerimiento:</w:t>
            </w:r>
          </w:p>
          <w:p w14:paraId="2E4CD176" w14:textId="046069CC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15.000€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75C0E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.:</w:t>
            </w:r>
          </w:p>
          <w:p w14:paraId="540C6033" w14:textId="58232741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20.000€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5BBD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3ª </w:t>
            </w:r>
            <w:proofErr w:type="spellStart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Reqto</w:t>
            </w:r>
            <w:proofErr w:type="spellEnd"/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.:</w:t>
            </w:r>
          </w:p>
          <w:p w14:paraId="79D3778A" w14:textId="0C24D033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600.000€</w:t>
            </w:r>
          </w:p>
        </w:tc>
      </w:tr>
      <w:tr w:rsidR="00FB023E" w:rsidRPr="007F1E5F" w14:paraId="2847B25F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2A6F3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3. El importe de la sanción será la mitad de las cuantías anteriores si se diese cumplimiento al requerimiento antes de:</w:t>
            </w:r>
          </w:p>
          <w:p w14:paraId="521B9A35" w14:textId="77777777" w:rsidR="00FB023E" w:rsidRPr="007F1E5F" w:rsidRDefault="00FB023E" w:rsidP="009B435A">
            <w:pPr>
              <w:pStyle w:val="Prrafodelista"/>
              <w:numPr>
                <w:ilvl w:val="1"/>
                <w:numId w:val="7"/>
              </w:numPr>
              <w:spacing w:before="60" w:after="120"/>
              <w:ind w:left="299" w:hanging="142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Finalizar el procedimiento sancionador</w:t>
            </w:r>
          </w:p>
          <w:p w14:paraId="1AA684EC" w14:textId="07F7CC9B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* Antes de finalizar el trámite de audiencia del Procedimiento Inspector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1D31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A90E7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5DF49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3D228" w14:textId="4871189F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El importe de la sanción será la mitad de las cuantías anteriores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20BD0" w14:textId="35CA5C16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El importe de la sanción será la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mitad de las cuantías anteriores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C2F1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182B73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6DA4F791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8F07F" w14:textId="6CBA78DF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4. Quebrantamiento de las medidas cautelares adoptadas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0EFD3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153952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44A874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FF3452" w14:textId="48BC0550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2%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Cifra de Negocios del año natural anterior a aquel en que se produjo la infracción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8700E2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39C8CC" w14:textId="7024A31A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3.000€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92D1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B435A" w:rsidRPr="007F1E5F" w14:paraId="79D07602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1473A1" w14:textId="4D4C2635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del deber de sigilo exigido a retenedores y obligados a realizar ingresos a cuenta exigidos por el A95 LGT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4CC91" w14:textId="7D62A647" w:rsidR="009B435A" w:rsidRPr="00FB023E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A204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8B1CB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1E8A1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  <w:p w14:paraId="39D9676D" w14:textId="149645A1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Se graduará incrementando la infracción en el 100% por la comisión repetida de la infracción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1A0A8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D38A2" w14:textId="63F9DC7F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300 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por cada dato o conjunto de datos referidos a una misma persona o entidad comunicado indebidamente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24C08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BBD0C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3F664288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13322C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No comunicar datos o comunicar datos falsos, incompletos o inexactos al pagador de rentas sometidas a retención o ingreso a cuenta cuando se derive el ingreso de retenciones o ingresos a cuenta inferiores a los procedentes:</w:t>
            </w:r>
          </w:p>
          <w:p w14:paraId="19F0676F" w14:textId="6878A8DC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1. El OT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TIENE OBLIGACIÓN DE PRESENTAR AUTOLIQUIDACIÓN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que incluya rentas sujetas a retención o ingreso a cuenta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BCC958" w14:textId="77F2E8D2" w:rsidR="00FB023E" w:rsidRPr="00FB023E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A205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84FB68" w14:textId="3CDAA585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Diferencia entre la retención o ingreso a cuenta procedente y la efectivamente practicada durante el período de aplicación de los datos falsos, incompletos o inexactos</w:t>
            </w:r>
          </w:p>
        </w:tc>
        <w:tc>
          <w:tcPr>
            <w:tcW w:w="4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AD6E5E" w14:textId="2B0CA214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6FDEB8" w14:textId="1EB2AD0A" w:rsidR="00FB023E" w:rsidRPr="007F1E5F" w:rsidRDefault="00FB023E" w:rsidP="00FB023E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35%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C0192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90CA1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A6FDE0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73F99658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E16E8D" w14:textId="49099585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2. El OT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NO TIENE OBLIGACIÓN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presentar autoliquidación que incluya rentas sujetas a retención o ingreso a cuenta</w:t>
            </w:r>
          </w:p>
        </w:tc>
        <w:tc>
          <w:tcPr>
            <w:tcW w:w="159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5B0FC8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794F89" w14:textId="0FB9EA5C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Diferencia entre la retención o ingreso a cuenta procedente y la efectivamente practicada durante el período de aplicación de los datos falsos, incompletos o inexactos</w:t>
            </w:r>
          </w:p>
        </w:tc>
        <w:tc>
          <w:tcPr>
            <w:tcW w:w="4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ED197B" w14:textId="6A607322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Muy Grave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F74DF0" w14:textId="112DC389" w:rsidR="00FB023E" w:rsidRPr="007F1E5F" w:rsidRDefault="00FB023E" w:rsidP="00FB023E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150%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475CA41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DCDFD3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3950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B435A" w:rsidRPr="007F1E5F" w14:paraId="303D1745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BE1335" w14:textId="32B26E29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Incumplimiento de la obligación de entregar el certificado de retenciones o ingresos a cuenta practicados a los obligados tributarios perceptores de las rentas sujetas a retención o ingreso a cuenta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3BDC8" w14:textId="0238E84D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A206 LGT</w:t>
            </w:r>
          </w:p>
        </w:tc>
        <w:tc>
          <w:tcPr>
            <w:tcW w:w="38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48037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7A0CF" w14:textId="5C34776F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Leve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11571" w14:textId="77777777" w:rsidR="009B435A" w:rsidRPr="007F1E5F" w:rsidRDefault="009B435A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06DA4" w14:textId="63D6D6A2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150€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ADB08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B36D" w14:textId="77777777" w:rsidR="009B435A" w:rsidRPr="007F1E5F" w:rsidRDefault="009B435A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3664D89F" w14:textId="77777777" w:rsidTr="00FB023E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7272C" w14:textId="62712B75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El incumplimiento de las obligaciones tributarias mediante la realización de actos o negocio</w:t>
            </w:r>
            <w:r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 xml:space="preserve"> cuya regularización se hubiese efectuado mediante la aplicación de lo dispuesto en el art.º 15 LGT y hubiese resultado acreditada cualquiera de las siguientes situaciones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:</w:t>
            </w:r>
          </w:p>
          <w:p w14:paraId="0F07BFCB" w14:textId="3A06B3E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1. Falta de ingreso en el plazo establecido dentro de la normativa de cada tributo de la totalidad o parte de la deuda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747E" w14:textId="77777777" w:rsidR="00FB023E" w:rsidRPr="00FB023E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A206 Bis LGT</w:t>
            </w:r>
          </w:p>
          <w:p w14:paraId="13F1DBDE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Incompatibles con las establecidas en los </w:t>
            </w:r>
            <w:r w:rsidRPr="00FB023E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arts. 191, 193, 194 y 195.</w:t>
            </w:r>
          </w:p>
          <w:p w14:paraId="37558598" w14:textId="408CA22C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Será de aplicación la reducción de sanciones del </w:t>
            </w:r>
            <w:r w:rsidRPr="008259F9">
              <w:rPr>
                <w:rFonts w:ascii="Palatino Linotype" w:hAnsi="Palatino Linotype" w:cs="Times New Roman"/>
                <w:b/>
                <w:bCs/>
                <w:color w:val="000000" w:themeColor="text1"/>
                <w:sz w:val="20"/>
                <w:szCs w:val="20"/>
              </w:rPr>
              <w:t>A188 LGT</w:t>
            </w:r>
          </w:p>
        </w:tc>
        <w:tc>
          <w:tcPr>
            <w:tcW w:w="388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2F08F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37DB6" w14:textId="6E36599C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Grave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A67D6" w14:textId="36189787" w:rsidR="00FB023E" w:rsidRPr="007F1E5F" w:rsidRDefault="00FB023E" w:rsidP="00FB023E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cuantía no ingresada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E69D7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F2291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DD6C3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67171B9D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7C262" w14:textId="7C8B4F0A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2. Obtención indebida de una devolución derivada de la normativa de cada tributo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9046A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B360A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0E2C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DA798" w14:textId="07644040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cantidad devuelta indebidamente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34491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A3A0D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A1FA96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1AA18694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24C12" w14:textId="41B4AD96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3. Solicitud indebida de una devolución, beneficio o incentivo fiscal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CF307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43EFD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5BE3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EBD20" w14:textId="4B743AD1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 la cantidad indebidamente solicitada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A4E2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57D6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95BBF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023E" w:rsidRPr="007F1E5F" w14:paraId="05D2F840" w14:textId="77777777" w:rsidTr="00FB023E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E553D" w14:textId="098A643A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4. Determinación o acreditación improcedente de partidas positivas o negativas o créditos tributarios a compensar o deducir en la base o en la cuota de declaraciones futuras propias o de terceros</w:t>
            </w:r>
          </w:p>
        </w:tc>
        <w:tc>
          <w:tcPr>
            <w:tcW w:w="15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8B57D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75C51" w14:textId="77777777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D7C73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0C0657" w14:textId="1D33C8A8" w:rsidR="00FB023E" w:rsidRPr="007F1E5F" w:rsidRDefault="00FB023E" w:rsidP="009B435A">
            <w:pPr>
              <w:spacing w:before="60" w:after="120"/>
              <w:jc w:val="both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15%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del importe de las cantidades indebidamente determinadas o acreditadas si se trata de partidas a compensar o deducir en la BI o del </w:t>
            </w:r>
            <w:r w:rsidRPr="007F1E5F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  <w:t>50%</w:t>
            </w:r>
            <w:r w:rsidRPr="007F1E5F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si se trata de partidas a deducir en la cuota o de créditos tributarios aparentes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5C2B24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F007BB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549F4" w14:textId="77777777" w:rsidR="00FB023E" w:rsidRPr="007F1E5F" w:rsidRDefault="00FB023E" w:rsidP="009B435A">
            <w:pPr>
              <w:spacing w:before="60" w:after="12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6103F66" w14:textId="6CB054DB" w:rsidR="00E93CCD" w:rsidRPr="00482714" w:rsidRDefault="00E93CCD" w:rsidP="00B62D6D">
      <w:pPr>
        <w:spacing w:before="60" w:after="120"/>
        <w:rPr>
          <w:rFonts w:ascii="Palatino Linotype" w:hAnsi="Palatino Linotype"/>
        </w:rPr>
      </w:pPr>
    </w:p>
    <w:p w14:paraId="5D15102C" w14:textId="0C1A5768" w:rsidR="004739BC" w:rsidRDefault="004739BC" w:rsidP="00B62D6D">
      <w:pPr>
        <w:spacing w:before="60" w:after="120"/>
        <w:rPr>
          <w:rFonts w:ascii="Palatino Linotype" w:hAnsi="Palatino Linotype" w:cs="Times New Roman"/>
        </w:rPr>
      </w:pPr>
    </w:p>
    <w:p w14:paraId="6997E813" w14:textId="03AF230F" w:rsidR="004739BC" w:rsidRDefault="004739BC" w:rsidP="00B62D6D">
      <w:pPr>
        <w:spacing w:before="60" w:after="120"/>
        <w:rPr>
          <w:rFonts w:ascii="Palatino Linotype" w:hAnsi="Palatino Linotype" w:cs="Times New Roman"/>
        </w:rPr>
      </w:pPr>
    </w:p>
    <w:p w14:paraId="70E0971E" w14:textId="2D453D3C" w:rsidR="004739BC" w:rsidRDefault="004739BC" w:rsidP="00B62D6D">
      <w:pPr>
        <w:spacing w:before="60" w:after="120"/>
        <w:rPr>
          <w:rFonts w:ascii="Palatino Linotype" w:hAnsi="Palatino Linotype" w:cs="Times New Roman"/>
        </w:rPr>
      </w:pPr>
    </w:p>
    <w:p w14:paraId="544AED3B" w14:textId="597BC061" w:rsidR="00FB023E" w:rsidRDefault="00FB023E" w:rsidP="00B62D6D">
      <w:pPr>
        <w:spacing w:before="60" w:after="120"/>
        <w:rPr>
          <w:rFonts w:ascii="Palatino Linotype" w:hAnsi="Palatino Linotype" w:cs="Times New Roman"/>
        </w:rPr>
      </w:pPr>
    </w:p>
    <w:p w14:paraId="7B90422B" w14:textId="68477244" w:rsidR="00FB023E" w:rsidRDefault="00FB023E" w:rsidP="00B62D6D">
      <w:pPr>
        <w:spacing w:before="60" w:after="120"/>
        <w:rPr>
          <w:rFonts w:ascii="Palatino Linotype" w:hAnsi="Palatino Linotype" w:cs="Times New Roman"/>
        </w:rPr>
      </w:pPr>
    </w:p>
    <w:p w14:paraId="17F78448" w14:textId="77777777" w:rsidR="00FB023E" w:rsidRPr="00482714" w:rsidRDefault="00FB023E" w:rsidP="00B62D6D">
      <w:pPr>
        <w:spacing w:before="60" w:after="120"/>
        <w:rPr>
          <w:rFonts w:ascii="Palatino Linotype" w:hAnsi="Palatino Linotype" w:cs="Times New Roman"/>
        </w:rPr>
      </w:pPr>
    </w:p>
    <w:p w14:paraId="6485838E" w14:textId="114C3C6F" w:rsidR="00482714" w:rsidRPr="008259F9" w:rsidRDefault="00482714" w:rsidP="0048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Palatino Linotype" w:hAnsi="Palatino Linotype" w:cs="Times New Roman"/>
          <w:b/>
          <w:bCs/>
          <w:sz w:val="28"/>
          <w:szCs w:val="28"/>
        </w:rPr>
      </w:pPr>
      <w:r w:rsidRPr="008259F9">
        <w:rPr>
          <w:rFonts w:ascii="Palatino Linotype" w:hAnsi="Palatino Linotype" w:cs="Times New Roman"/>
          <w:b/>
          <w:bCs/>
          <w:sz w:val="28"/>
          <w:szCs w:val="28"/>
        </w:rPr>
        <w:t>TEMARIO AGENTES DE LA HACIENDA PÚBLICA</w:t>
      </w:r>
    </w:p>
    <w:p w14:paraId="464C98BB" w14:textId="6924C8DF" w:rsidR="00482714" w:rsidRPr="008259F9" w:rsidRDefault="00482714" w:rsidP="0048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Palatino Linotype" w:hAnsi="Palatino Linotype" w:cs="Times New Roman"/>
          <w:b/>
          <w:bCs/>
        </w:rPr>
      </w:pPr>
      <w:r w:rsidRPr="008259F9">
        <w:rPr>
          <w:rFonts w:ascii="Palatino Linotype" w:hAnsi="Palatino Linotype" w:cs="Times New Roman"/>
          <w:b/>
          <w:bCs/>
        </w:rPr>
        <w:t xml:space="preserve">Precio Venta: 17 euros. </w:t>
      </w:r>
    </w:p>
    <w:p w14:paraId="30565A28" w14:textId="740DDF4F" w:rsidR="00482714" w:rsidRPr="00482714" w:rsidRDefault="00482714" w:rsidP="0048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Palatino Linotype" w:hAnsi="Palatino Linotype" w:cs="Times New Roman"/>
        </w:rPr>
      </w:pPr>
      <w:r w:rsidRPr="00482714">
        <w:rPr>
          <w:rFonts w:ascii="Palatino Linotype" w:hAnsi="Palatino Linotype" w:cs="Times New Roman"/>
        </w:rPr>
        <w:t xml:space="preserve">ACTUALIZADO A LA OPE 2019. </w:t>
      </w:r>
      <w:r w:rsidRPr="008259F9">
        <w:rPr>
          <w:rFonts w:ascii="Palatino Linotype" w:hAnsi="Palatino Linotype" w:cs="Times New Roman"/>
          <w:u w:val="single"/>
        </w:rPr>
        <w:t>ÚLTIMA Actualización 16/03/2017 Tema Igualdad y Temario del Gobierno</w:t>
      </w:r>
      <w:r w:rsidRPr="00482714">
        <w:rPr>
          <w:rFonts w:ascii="Palatino Linotype" w:hAnsi="Palatino Linotype" w:cs="Times New Roman"/>
        </w:rPr>
        <w:t xml:space="preserve">. </w:t>
      </w:r>
    </w:p>
    <w:p w14:paraId="131AA00A" w14:textId="533CD627" w:rsidR="00482714" w:rsidRPr="00482714" w:rsidRDefault="00482714" w:rsidP="0048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Palatino Linotype" w:hAnsi="Palatino Linotype" w:cs="Times New Roman"/>
        </w:rPr>
      </w:pPr>
      <w:r w:rsidRPr="00482714">
        <w:rPr>
          <w:rFonts w:ascii="Palatino Linotype" w:hAnsi="Palatino Linotype" w:cs="Times New Roman"/>
        </w:rPr>
        <w:t xml:space="preserve">Realizado por Ley y completamente actualizado. En el articulado se han señalado aquellos artículos que han sido objeto de pregunta tipo test desde la OPE 2009 a 2018 tanto Promoción Libre como Interna. </w:t>
      </w:r>
    </w:p>
    <w:p w14:paraId="7326D63C" w14:textId="7F7A48EA" w:rsidR="00482714" w:rsidRPr="00482714" w:rsidRDefault="00482714" w:rsidP="0048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/>
        <w:rPr>
          <w:rFonts w:ascii="Palatino Linotype" w:hAnsi="Palatino Linotype" w:cs="Times New Roman"/>
        </w:rPr>
      </w:pPr>
      <w:r w:rsidRPr="00482714">
        <w:rPr>
          <w:rFonts w:ascii="Palatino Linotype" w:hAnsi="Palatino Linotype" w:cs="Times New Roman"/>
        </w:rPr>
        <w:t>Interesados podéis contactar en</w:t>
      </w:r>
      <w:r w:rsidRPr="008259F9">
        <w:rPr>
          <w:rFonts w:ascii="Palatino Linotype" w:hAnsi="Palatino Linotype" w:cs="Times New Roman"/>
          <w:sz w:val="24"/>
          <w:szCs w:val="24"/>
        </w:rPr>
        <w:t xml:space="preserve">: </w:t>
      </w:r>
      <w:bookmarkStart w:id="0" w:name="_Hlk40778869"/>
      <w:r w:rsidRPr="008259F9">
        <w:rPr>
          <w:rFonts w:ascii="Palatino Linotype" w:hAnsi="Palatino Linotype" w:cs="Times New Roman"/>
          <w:b/>
          <w:bCs/>
          <w:sz w:val="24"/>
          <w:szCs w:val="24"/>
        </w:rPr>
        <w:t>temariohacienda@outlook.es</w:t>
      </w:r>
      <w:r w:rsidRPr="00482714">
        <w:rPr>
          <w:rFonts w:ascii="Palatino Linotype" w:hAnsi="Palatino Linotype" w:cs="Times New Roman"/>
        </w:rPr>
        <w:t xml:space="preserve"> </w:t>
      </w:r>
      <w:bookmarkEnd w:id="0"/>
      <w:r w:rsidRPr="00482714">
        <w:rPr>
          <w:rFonts w:ascii="Palatino Linotype" w:hAnsi="Palatino Linotype" w:cs="Times New Roman"/>
        </w:rPr>
        <w:t xml:space="preserve">y </w:t>
      </w:r>
      <w:r w:rsidRPr="008259F9">
        <w:rPr>
          <w:rFonts w:ascii="Palatino Linotype" w:hAnsi="Palatino Linotype" w:cs="Times New Roman"/>
          <w:b/>
          <w:bCs/>
          <w:sz w:val="24"/>
          <w:szCs w:val="24"/>
        </w:rPr>
        <w:t>solicitar muestras y forma de pago</w:t>
      </w:r>
      <w:r w:rsidRPr="00482714">
        <w:rPr>
          <w:rFonts w:ascii="Palatino Linotype" w:hAnsi="Palatino Linotype" w:cs="Times New Roman"/>
        </w:rPr>
        <w:t>.</w:t>
      </w:r>
    </w:p>
    <w:sectPr w:rsidR="00482714" w:rsidRPr="00482714" w:rsidSect="00EE079A">
      <w:headerReference w:type="default" r:id="rId8"/>
      <w:footerReference w:type="default" r:id="rId9"/>
      <w:pgSz w:w="23811" w:h="16838" w:orient="landscape" w:code="8"/>
      <w:pgMar w:top="142" w:right="1417" w:bottom="851" w:left="1417" w:header="426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3549E" w14:textId="77777777" w:rsidR="00FF54F4" w:rsidRDefault="00FF54F4" w:rsidP="00BF3885">
      <w:pPr>
        <w:spacing w:after="0" w:line="240" w:lineRule="auto"/>
      </w:pPr>
      <w:r>
        <w:separator/>
      </w:r>
    </w:p>
  </w:endnote>
  <w:endnote w:type="continuationSeparator" w:id="0">
    <w:p w14:paraId="7C17088B" w14:textId="77777777" w:rsidR="00FF54F4" w:rsidRDefault="00FF54F4" w:rsidP="00BF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99F5" w14:textId="4BCBAA7F" w:rsidR="00451E9C" w:rsidRPr="00482714" w:rsidRDefault="004739BC" w:rsidP="00395747">
    <w:pPr>
      <w:pStyle w:val="Piedepgina"/>
      <w:jc w:val="right"/>
      <w:rPr>
        <w:rFonts w:ascii="Palatino Linotype" w:hAnsi="Palatino Linotype" w:cs="Times New Roman"/>
        <w:b/>
        <w:color w:val="000000" w:themeColor="text1"/>
        <w:sz w:val="20"/>
        <w:szCs w:val="20"/>
      </w:rPr>
    </w:pPr>
    <w:r w:rsidRPr="003F4D1A">
      <w:rPr>
        <w:noProof/>
      </w:rPr>
      <mc:AlternateContent>
        <mc:Choice Requires="wps">
          <w:drawing>
            <wp:anchor distT="36195" distB="36195" distL="36195" distR="36195" simplePos="0" relativeHeight="251659264" behindDoc="1" locked="0" layoutInCell="1" allowOverlap="1" wp14:anchorId="5F58B043" wp14:editId="5475296C">
              <wp:simplePos x="0" y="0"/>
              <wp:positionH relativeFrom="column">
                <wp:posOffset>-6660</wp:posOffset>
              </wp:positionH>
              <wp:positionV relativeFrom="paragraph">
                <wp:posOffset>-227507</wp:posOffset>
              </wp:positionV>
              <wp:extent cx="3989704" cy="457200"/>
              <wp:effectExtent l="0" t="0" r="11430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4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C16EA" w14:textId="7B5B0220" w:rsidR="004739BC" w:rsidRDefault="004739BC" w:rsidP="004739BC">
                          <w:pPr>
                            <w:spacing w:after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F4D1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Juan José Macias Vidal </w:t>
                          </w:r>
                          <w:r w:rsidRPr="004739B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temariohacienda@outlook.es</w:t>
                          </w:r>
                        </w:p>
                        <w:p w14:paraId="5F87BF8F" w14:textId="77777777" w:rsidR="004739BC" w:rsidRPr="00803B5E" w:rsidRDefault="004739BC" w:rsidP="004739BC">
                          <w:pPr>
                            <w:spacing w:after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F4D1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Copyright. </w:t>
                          </w:r>
                          <w:r w:rsidRPr="00803B5E">
                            <w:rPr>
                              <w:rStyle w:val="Nmerodepgina"/>
                              <w:szCs w:val="18"/>
                              <w:u w:val="single"/>
                            </w:rPr>
                            <w:t xml:space="preserve">Queda </w:t>
                          </w:r>
                          <w:r>
                            <w:rPr>
                              <w:rStyle w:val="Nmerodepgina"/>
                              <w:szCs w:val="18"/>
                              <w:u w:val="single"/>
                            </w:rPr>
                            <w:t>p</w:t>
                          </w:r>
                          <w:r w:rsidRPr="00803B5E">
                            <w:rPr>
                              <w:rStyle w:val="Nmerodepgina"/>
                              <w:szCs w:val="18"/>
                              <w:u w:val="single"/>
                            </w:rPr>
                            <w:t>rohibida su reproducción parcial o total</w:t>
                          </w:r>
                          <w:r>
                            <w:rPr>
                              <w:rStyle w:val="Nmerodepgina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8B04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.5pt;margin-top:-17.9pt;width:314.15pt;height:36pt;z-index:-25165721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">
              <v:textbox>
                <w:txbxContent>
                  <w:p w14:paraId="1C7C16EA" w14:textId="7B5B0220" w:rsidR="004739BC" w:rsidRDefault="004739BC" w:rsidP="004739BC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F4D1A">
                      <w:rPr>
                        <w:b/>
                        <w:bCs/>
                        <w:sz w:val="18"/>
                        <w:szCs w:val="18"/>
                      </w:rPr>
                      <w:t xml:space="preserve">Juan José Macias Vidal </w:t>
                    </w:r>
                    <w:r w:rsidRPr="004739BC">
                      <w:rPr>
                        <w:b/>
                        <w:bCs/>
                        <w:sz w:val="18"/>
                        <w:szCs w:val="18"/>
                      </w:rPr>
                      <w:t>temariohacienda@outlook.es</w:t>
                    </w:r>
                  </w:p>
                  <w:p w14:paraId="5F87BF8F" w14:textId="77777777" w:rsidR="004739BC" w:rsidRPr="00803B5E" w:rsidRDefault="004739BC" w:rsidP="004739BC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F4D1A">
                      <w:rPr>
                        <w:b/>
                        <w:bCs/>
                        <w:sz w:val="18"/>
                        <w:szCs w:val="18"/>
                      </w:rPr>
                      <w:t>©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Copyright. </w:t>
                    </w:r>
                    <w:r w:rsidRPr="00803B5E">
                      <w:rPr>
                        <w:rStyle w:val="Nmerodepgina"/>
                        <w:szCs w:val="18"/>
                        <w:u w:val="single"/>
                      </w:rPr>
                      <w:t xml:space="preserve">Queda </w:t>
                    </w:r>
                    <w:r>
                      <w:rPr>
                        <w:rStyle w:val="Nmerodepgina"/>
                        <w:szCs w:val="18"/>
                        <w:u w:val="single"/>
                      </w:rPr>
                      <w:t>p</w:t>
                    </w:r>
                    <w:r w:rsidRPr="00803B5E">
                      <w:rPr>
                        <w:rStyle w:val="Nmerodepgina"/>
                        <w:szCs w:val="18"/>
                        <w:u w:val="single"/>
                      </w:rPr>
                      <w:t>rohibida su reproducción parcial o total</w:t>
                    </w:r>
                    <w:r>
                      <w:rPr>
                        <w:rStyle w:val="Nmerodepgina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sdt>
      <w:sdtPr>
        <w:id w:val="1727326485"/>
        <w:docPartObj>
          <w:docPartGallery w:val="Page Numbers (Bottom of Page)"/>
          <w:docPartUnique/>
        </w:docPartObj>
      </w:sdtPr>
      <w:sdtEndPr>
        <w:rPr>
          <w:rFonts w:ascii="Palatino Linotype" w:hAnsi="Palatino Linotype" w:cs="Times New Roman"/>
          <w:b/>
          <w:color w:val="000000" w:themeColor="text1"/>
          <w:sz w:val="20"/>
          <w:szCs w:val="20"/>
        </w:rPr>
      </w:sdtEndPr>
      <w:sdtContent>
        <w:r w:rsidR="00451E9C" w:rsidRPr="00482714">
          <w:rPr>
            <w:rFonts w:ascii="Palatino Linotype" w:hAnsi="Palatino Linotype" w:cs="Times New Roman"/>
            <w:b/>
            <w:color w:val="000000" w:themeColor="text1"/>
            <w:sz w:val="20"/>
            <w:szCs w:val="20"/>
          </w:rPr>
          <w:fldChar w:fldCharType="begin"/>
        </w:r>
        <w:r w:rsidR="00451E9C" w:rsidRPr="00482714">
          <w:rPr>
            <w:rFonts w:ascii="Palatino Linotype" w:hAnsi="Palatino Linotype" w:cs="Times New Roman"/>
            <w:b/>
            <w:color w:val="000000" w:themeColor="text1"/>
            <w:sz w:val="20"/>
            <w:szCs w:val="20"/>
          </w:rPr>
          <w:instrText>PAGE   \* MERGEFORMAT</w:instrText>
        </w:r>
        <w:r w:rsidR="00451E9C" w:rsidRPr="00482714">
          <w:rPr>
            <w:rFonts w:ascii="Palatino Linotype" w:hAnsi="Palatino Linotype" w:cs="Times New Roman"/>
            <w:b/>
            <w:color w:val="000000" w:themeColor="text1"/>
            <w:sz w:val="20"/>
            <w:szCs w:val="20"/>
          </w:rPr>
          <w:fldChar w:fldCharType="separate"/>
        </w:r>
        <w:r w:rsidR="00451E9C" w:rsidRPr="00482714">
          <w:rPr>
            <w:rFonts w:ascii="Palatino Linotype" w:hAnsi="Palatino Linotype" w:cs="Times New Roman"/>
            <w:b/>
            <w:color w:val="000000" w:themeColor="text1"/>
            <w:sz w:val="20"/>
            <w:szCs w:val="20"/>
          </w:rPr>
          <w:t>2</w:t>
        </w:r>
        <w:r w:rsidR="00451E9C" w:rsidRPr="00482714">
          <w:rPr>
            <w:rFonts w:ascii="Palatino Linotype" w:hAnsi="Palatino Linotype" w:cs="Times New Roman"/>
            <w:b/>
            <w:color w:val="000000" w:themeColor="text1"/>
            <w:sz w:val="20"/>
            <w:szCs w:val="20"/>
          </w:rPr>
          <w:fldChar w:fldCharType="end"/>
        </w:r>
      </w:sdtContent>
    </w:sdt>
  </w:p>
  <w:p w14:paraId="5C391CC6" w14:textId="77777777" w:rsidR="00451E9C" w:rsidRDefault="00451E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C9F09" w14:textId="77777777" w:rsidR="00FF54F4" w:rsidRDefault="00FF54F4" w:rsidP="00BF3885">
      <w:pPr>
        <w:spacing w:after="0" w:line="240" w:lineRule="auto"/>
      </w:pPr>
      <w:r>
        <w:separator/>
      </w:r>
    </w:p>
  </w:footnote>
  <w:footnote w:type="continuationSeparator" w:id="0">
    <w:p w14:paraId="6D99C555" w14:textId="77777777" w:rsidR="00FF54F4" w:rsidRDefault="00FF54F4" w:rsidP="00BF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57BA" w14:textId="77777777" w:rsidR="00451E9C" w:rsidRPr="00482714" w:rsidRDefault="00451E9C" w:rsidP="00395747">
    <w:pPr>
      <w:pStyle w:val="Encabezado"/>
      <w:jc w:val="center"/>
      <w:rPr>
        <w:rFonts w:ascii="Palatino Linotype" w:hAnsi="Palatino Linotype" w:cs="Times New Roman"/>
        <w:b/>
        <w:color w:val="000000" w:themeColor="text1"/>
        <w:sz w:val="32"/>
        <w:szCs w:val="32"/>
      </w:rPr>
    </w:pPr>
    <w:r w:rsidRPr="00482714">
      <w:rPr>
        <w:rFonts w:ascii="Palatino Linotype" w:hAnsi="Palatino Linotype" w:cs="Times New Roman"/>
        <w:b/>
        <w:color w:val="000000" w:themeColor="text1"/>
        <w:sz w:val="32"/>
        <w:szCs w:val="32"/>
      </w:rPr>
      <w:t>CUADRO DE INFRACCIONES Y SANCIONES TRIBUTARIAS</w:t>
    </w:r>
  </w:p>
  <w:p w14:paraId="6AE463B1" w14:textId="77777777" w:rsidR="00451E9C" w:rsidRDefault="00451E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D23C5"/>
    <w:multiLevelType w:val="hybridMultilevel"/>
    <w:tmpl w:val="0F769C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708D9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B1A7D"/>
    <w:multiLevelType w:val="hybridMultilevel"/>
    <w:tmpl w:val="EB2489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34E4"/>
    <w:multiLevelType w:val="hybridMultilevel"/>
    <w:tmpl w:val="8D42AC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51777"/>
    <w:multiLevelType w:val="multilevel"/>
    <w:tmpl w:val="F926C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vertAlign w:val="superscrip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58C038A"/>
    <w:multiLevelType w:val="hybridMultilevel"/>
    <w:tmpl w:val="00E0EC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92808"/>
    <w:multiLevelType w:val="hybridMultilevel"/>
    <w:tmpl w:val="71B49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F42"/>
    <w:multiLevelType w:val="hybridMultilevel"/>
    <w:tmpl w:val="63809C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C56AD"/>
    <w:multiLevelType w:val="hybridMultilevel"/>
    <w:tmpl w:val="D452E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IqZCgWnTPxFsIr38TTAemRWmpUTDyN1zoESHB91L8F5G9OkI32/PPHqL5/jZnTnym7EMcf8X74vkNcfTqmpBQ==" w:salt="IGOoPQ1rJBJHwPk+vCNJ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51"/>
    <w:rsid w:val="000019C7"/>
    <w:rsid w:val="00077636"/>
    <w:rsid w:val="00080146"/>
    <w:rsid w:val="00083814"/>
    <w:rsid w:val="000C1EE1"/>
    <w:rsid w:val="000D5CAB"/>
    <w:rsid w:val="000E4661"/>
    <w:rsid w:val="000F09BE"/>
    <w:rsid w:val="00114905"/>
    <w:rsid w:val="00115E6A"/>
    <w:rsid w:val="001241B5"/>
    <w:rsid w:val="00132EA1"/>
    <w:rsid w:val="001428CA"/>
    <w:rsid w:val="00151B09"/>
    <w:rsid w:val="0016253D"/>
    <w:rsid w:val="00164E85"/>
    <w:rsid w:val="001B77E0"/>
    <w:rsid w:val="001E2A2D"/>
    <w:rsid w:val="001E5CA2"/>
    <w:rsid w:val="001F6D59"/>
    <w:rsid w:val="002301C7"/>
    <w:rsid w:val="00266285"/>
    <w:rsid w:val="0027253D"/>
    <w:rsid w:val="00291851"/>
    <w:rsid w:val="002B427F"/>
    <w:rsid w:val="002B52D3"/>
    <w:rsid w:val="002B73A6"/>
    <w:rsid w:val="002C7540"/>
    <w:rsid w:val="002F0E88"/>
    <w:rsid w:val="00304177"/>
    <w:rsid w:val="00347762"/>
    <w:rsid w:val="0036663B"/>
    <w:rsid w:val="00385D6F"/>
    <w:rsid w:val="00395747"/>
    <w:rsid w:val="003A172D"/>
    <w:rsid w:val="00410619"/>
    <w:rsid w:val="004175B2"/>
    <w:rsid w:val="004337E3"/>
    <w:rsid w:val="00436CC9"/>
    <w:rsid w:val="00451E9C"/>
    <w:rsid w:val="004704CE"/>
    <w:rsid w:val="004723A5"/>
    <w:rsid w:val="004739BC"/>
    <w:rsid w:val="00482714"/>
    <w:rsid w:val="00497324"/>
    <w:rsid w:val="004D0650"/>
    <w:rsid w:val="004D624F"/>
    <w:rsid w:val="004F75F5"/>
    <w:rsid w:val="005053C4"/>
    <w:rsid w:val="005676F3"/>
    <w:rsid w:val="0057235A"/>
    <w:rsid w:val="00590CD8"/>
    <w:rsid w:val="005A1048"/>
    <w:rsid w:val="005F1CA8"/>
    <w:rsid w:val="00637CAE"/>
    <w:rsid w:val="00690EC2"/>
    <w:rsid w:val="006F2D04"/>
    <w:rsid w:val="006F43E9"/>
    <w:rsid w:val="00701498"/>
    <w:rsid w:val="00706760"/>
    <w:rsid w:val="00712A46"/>
    <w:rsid w:val="00727C7F"/>
    <w:rsid w:val="00747567"/>
    <w:rsid w:val="00786CA2"/>
    <w:rsid w:val="007C21C9"/>
    <w:rsid w:val="007F1E5F"/>
    <w:rsid w:val="007F75B9"/>
    <w:rsid w:val="008008F5"/>
    <w:rsid w:val="008065A2"/>
    <w:rsid w:val="008259F9"/>
    <w:rsid w:val="008528BC"/>
    <w:rsid w:val="008855BF"/>
    <w:rsid w:val="00885857"/>
    <w:rsid w:val="008A7CA0"/>
    <w:rsid w:val="008F246F"/>
    <w:rsid w:val="00905FC6"/>
    <w:rsid w:val="00964980"/>
    <w:rsid w:val="00997931"/>
    <w:rsid w:val="009A4AC0"/>
    <w:rsid w:val="009B435A"/>
    <w:rsid w:val="009B69DD"/>
    <w:rsid w:val="009C771A"/>
    <w:rsid w:val="009D4783"/>
    <w:rsid w:val="009E57A2"/>
    <w:rsid w:val="009E67E1"/>
    <w:rsid w:val="00A03415"/>
    <w:rsid w:val="00A03D96"/>
    <w:rsid w:val="00AA0C24"/>
    <w:rsid w:val="00AA1675"/>
    <w:rsid w:val="00AE0B0B"/>
    <w:rsid w:val="00B02880"/>
    <w:rsid w:val="00B23729"/>
    <w:rsid w:val="00B2662E"/>
    <w:rsid w:val="00B35BD9"/>
    <w:rsid w:val="00B51A76"/>
    <w:rsid w:val="00B56AF0"/>
    <w:rsid w:val="00B62D6D"/>
    <w:rsid w:val="00B64B27"/>
    <w:rsid w:val="00BC2FAD"/>
    <w:rsid w:val="00BE2FD1"/>
    <w:rsid w:val="00BF08D2"/>
    <w:rsid w:val="00BF3885"/>
    <w:rsid w:val="00C01133"/>
    <w:rsid w:val="00C40C27"/>
    <w:rsid w:val="00C41F4D"/>
    <w:rsid w:val="00C44BA8"/>
    <w:rsid w:val="00C505C5"/>
    <w:rsid w:val="00C94EFC"/>
    <w:rsid w:val="00C960B6"/>
    <w:rsid w:val="00CD0DD0"/>
    <w:rsid w:val="00D2327F"/>
    <w:rsid w:val="00D31E8E"/>
    <w:rsid w:val="00D63FC3"/>
    <w:rsid w:val="00D6487A"/>
    <w:rsid w:val="00DA2518"/>
    <w:rsid w:val="00DB217F"/>
    <w:rsid w:val="00DF50FC"/>
    <w:rsid w:val="00E054D1"/>
    <w:rsid w:val="00E209E9"/>
    <w:rsid w:val="00E4577B"/>
    <w:rsid w:val="00E5611F"/>
    <w:rsid w:val="00E806DA"/>
    <w:rsid w:val="00E93CCD"/>
    <w:rsid w:val="00ED0262"/>
    <w:rsid w:val="00EE079A"/>
    <w:rsid w:val="00EE504D"/>
    <w:rsid w:val="00F0285F"/>
    <w:rsid w:val="00F04FDF"/>
    <w:rsid w:val="00F31538"/>
    <w:rsid w:val="00F33251"/>
    <w:rsid w:val="00F35B55"/>
    <w:rsid w:val="00F423C4"/>
    <w:rsid w:val="00F56C4C"/>
    <w:rsid w:val="00F64319"/>
    <w:rsid w:val="00F66530"/>
    <w:rsid w:val="00F8052C"/>
    <w:rsid w:val="00F8770F"/>
    <w:rsid w:val="00FB023E"/>
    <w:rsid w:val="00FB0285"/>
    <w:rsid w:val="00FC2705"/>
    <w:rsid w:val="00FE036C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1D04A"/>
  <w15:chartTrackingRefBased/>
  <w15:docId w15:val="{C62816FA-8F1E-4DEF-B991-A1E43233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8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885"/>
  </w:style>
  <w:style w:type="paragraph" w:styleId="Piedepgina">
    <w:name w:val="footer"/>
    <w:basedOn w:val="Normal"/>
    <w:link w:val="PiedepginaCar"/>
    <w:uiPriority w:val="99"/>
    <w:unhideWhenUsed/>
    <w:rsid w:val="00BF3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885"/>
  </w:style>
  <w:style w:type="character" w:styleId="Nmerodepgina">
    <w:name w:val="page number"/>
    <w:basedOn w:val="Fuentedeprrafopredeter"/>
    <w:uiPriority w:val="99"/>
    <w:unhideWhenUsed/>
    <w:qFormat/>
    <w:rsid w:val="004739BC"/>
    <w:rPr>
      <w:rFonts w:ascii="Palatino Linotype" w:hAnsi="Palatino Linotype"/>
      <w:b/>
      <w:bCs/>
      <w:color w:val="000000" w:themeColor="text1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99D6-F3F8-4016-9593-889ADE73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3386</Words>
  <Characters>18624</Characters>
  <Application>Microsoft Office Word</Application>
  <DocSecurity>8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Macias Vidal</dc:creator>
  <cp:keywords/>
  <dc:description/>
  <cp:lastModifiedBy>Juan Jose Macias Vidal</cp:lastModifiedBy>
  <cp:revision>8</cp:revision>
  <cp:lastPrinted>2018-11-15T11:23:00Z</cp:lastPrinted>
  <dcterms:created xsi:type="dcterms:W3CDTF">2020-05-19T09:00:00Z</dcterms:created>
  <dcterms:modified xsi:type="dcterms:W3CDTF">2020-05-20T20:01:00Z</dcterms:modified>
</cp:coreProperties>
</file>